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AAC7">
      <w:pPr>
        <w:pStyle w:val="13"/>
        <w:rPr>
          <w:rFonts w:ascii="Times New Roman" w:hAnsi="Times New Roman"/>
        </w:rPr>
      </w:pPr>
      <w:bookmarkStart w:id="0" w:name="_Toc412903615"/>
      <w:r>
        <w:rPr>
          <w:rFonts w:ascii="Times New Roman" w:hAnsi="Times New Roman"/>
        </w:rPr>
        <w:t>第</w:t>
      </w:r>
      <w:r>
        <w:rPr>
          <w:rFonts w:hint="eastAsia" w:ascii="Times New Roman" w:hAnsi="Times New Roman"/>
        </w:rPr>
        <w:t>二</w:t>
      </w:r>
      <w:r>
        <w:rPr>
          <w:rFonts w:ascii="Times New Roman" w:hAnsi="Times New Roman"/>
        </w:rPr>
        <w:t>部分  招标项目要求</w:t>
      </w:r>
      <w:bookmarkEnd w:id="0"/>
    </w:p>
    <w:p w14:paraId="57DA4D34">
      <w:pPr>
        <w:tabs>
          <w:tab w:val="left" w:pos="210"/>
        </w:tabs>
        <w:autoSpaceDE w:val="0"/>
        <w:autoSpaceDN w:val="0"/>
        <w:adjustRightInd w:val="0"/>
        <w:spacing w:line="360" w:lineRule="auto"/>
        <w:ind w:firstLine="448" w:firstLineChars="200"/>
        <w:outlineLvl w:val="0"/>
        <w:rPr>
          <w:rFonts w:cs="宋体"/>
          <w:kern w:val="0"/>
          <w:sz w:val="24"/>
          <w:szCs w:val="24"/>
        </w:rPr>
      </w:pPr>
      <w:r>
        <w:rPr>
          <w:rFonts w:hint="eastAsia"/>
          <w:sz w:val="24"/>
        </w:rPr>
        <w:t>加注“★”号条款为实质性条款，不得出现负偏离，发生负偏离即做无效标处理。</w:t>
      </w:r>
    </w:p>
    <w:p w14:paraId="11E7AF16">
      <w:pPr>
        <w:spacing w:line="360" w:lineRule="auto"/>
        <w:ind w:firstLine="448" w:firstLineChars="200"/>
        <w:outlineLvl w:val="0"/>
        <w:rPr>
          <w:sz w:val="24"/>
        </w:rPr>
      </w:pPr>
      <w:r>
        <w:rPr>
          <w:rFonts w:hint="eastAsia"/>
          <w:sz w:val="24"/>
        </w:rPr>
        <w:t>一、项目背景</w:t>
      </w:r>
    </w:p>
    <w:p w14:paraId="1486D6E2">
      <w:pPr>
        <w:spacing w:line="360" w:lineRule="auto"/>
        <w:ind w:firstLine="448" w:firstLineChars="200"/>
        <w:outlineLvl w:val="0"/>
        <w:rPr>
          <w:sz w:val="24"/>
        </w:rPr>
      </w:pPr>
      <w:r>
        <w:rPr>
          <w:rFonts w:hint="eastAsia"/>
          <w:sz w:val="24"/>
        </w:rPr>
        <w:t>本项目属于工业。</w:t>
      </w:r>
    </w:p>
    <w:p w14:paraId="29EBCD7B">
      <w:pPr>
        <w:spacing w:line="360" w:lineRule="auto"/>
        <w:ind w:firstLine="448" w:firstLineChars="200"/>
        <w:outlineLvl w:val="0"/>
        <w:rPr>
          <w:sz w:val="24"/>
        </w:rPr>
      </w:pPr>
      <w:r>
        <w:rPr>
          <w:rFonts w:hint="eastAsia"/>
          <w:sz w:val="24"/>
        </w:rPr>
        <w:t>二、技术要求</w:t>
      </w:r>
    </w:p>
    <w:p w14:paraId="62F588F1">
      <w:pPr>
        <w:spacing w:line="360" w:lineRule="auto"/>
        <w:ind w:firstLine="448" w:firstLineChars="200"/>
        <w:outlineLvl w:val="0"/>
        <w:rPr>
          <w:sz w:val="24"/>
        </w:rPr>
      </w:pPr>
      <w:r>
        <w:rPr>
          <w:rFonts w:hint="eastAsia" w:cs="宋体"/>
          <w:kern w:val="0"/>
          <w:sz w:val="24"/>
          <w:szCs w:val="24"/>
        </w:rPr>
        <w:t>★</w:t>
      </w:r>
      <w:r>
        <w:rPr>
          <w:rFonts w:hint="eastAsia"/>
          <w:sz w:val="24"/>
        </w:rPr>
        <w:t>（一）投标人须承诺所投产品和服务符合相关强制性规定。交货时采购人有权要求投标人出具所投产品、服务符合上述规定的证明文件。</w:t>
      </w:r>
    </w:p>
    <w:p w14:paraId="0B989AE1">
      <w:pPr>
        <w:spacing w:line="360" w:lineRule="auto"/>
        <w:ind w:firstLine="448" w:firstLineChars="200"/>
        <w:outlineLvl w:val="0"/>
        <w:rPr>
          <w:sz w:val="24"/>
        </w:rPr>
      </w:pPr>
      <w:r>
        <w:rPr>
          <w:rFonts w:hint="eastAsia"/>
          <w:sz w:val="24"/>
        </w:rPr>
        <w:t>（二）</w:t>
      </w:r>
      <w:r>
        <w:rPr>
          <w:sz w:val="24"/>
        </w:rPr>
        <w:t>采购清单</w:t>
      </w:r>
    </w:p>
    <w:p w14:paraId="4AFBA856">
      <w:pPr>
        <w:pStyle w:val="25"/>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第一包：</w:t>
      </w:r>
    </w:p>
    <w:p w14:paraId="48A3361A">
      <w:pPr>
        <w:pStyle w:val="25"/>
        <w:spacing w:line="360" w:lineRule="auto"/>
        <w:ind w:firstLine="448" w:firstLineChars="200"/>
        <w:jc w:val="both"/>
        <w:rPr>
          <w:rFonts w:ascii="Times New Roman" w:hAnsi="Times New Roman" w:eastAsia="宋体" w:cs="Times New Roman"/>
          <w:color w:val="auto"/>
        </w:rPr>
      </w:pPr>
      <w:r>
        <w:rPr>
          <w:rFonts w:hint="eastAsia"/>
          <w:color w:val="auto"/>
        </w:rPr>
        <w:t>★</w:t>
      </w:r>
      <w:r>
        <w:rPr>
          <w:rFonts w:hint="eastAsia" w:ascii="Times New Roman" w:hAnsi="Times New Roman" w:eastAsia="宋体" w:cs="Times New Roman"/>
          <w:color w:val="auto"/>
        </w:rPr>
        <w:t>1. 投标产品实质性要求</w:t>
      </w:r>
    </w:p>
    <w:p w14:paraId="6CF37143">
      <w:pPr>
        <w:pStyle w:val="25"/>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所投产品须按照《医疗器械注册与备案管理办法》（国家市场监督管理总局令第47号）的规定，提供医疗器械备案证明材料或医疗器械注册证扫描件。</w:t>
      </w:r>
    </w:p>
    <w:p w14:paraId="62C83F4D">
      <w:pPr>
        <w:spacing w:line="360" w:lineRule="auto"/>
        <w:ind w:firstLine="448" w:firstLineChars="200"/>
        <w:outlineLvl w:val="0"/>
        <w:rPr>
          <w:sz w:val="24"/>
        </w:rPr>
      </w:pPr>
      <w:r>
        <w:rPr>
          <w:rFonts w:hint="eastAsia"/>
          <w:sz w:val="24"/>
        </w:rPr>
        <w:t>2. 技术参数</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1317"/>
        <w:gridCol w:w="1264"/>
        <w:gridCol w:w="5158"/>
      </w:tblGrid>
      <w:tr w14:paraId="1787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63" w:type="pct"/>
            <w:tcBorders>
              <w:top w:val="single" w:color="auto" w:sz="4" w:space="0"/>
              <w:left w:val="single" w:color="auto" w:sz="4" w:space="0"/>
              <w:bottom w:val="single" w:color="auto" w:sz="4" w:space="0"/>
              <w:right w:val="single" w:color="auto" w:sz="4" w:space="0"/>
            </w:tcBorders>
            <w:vAlign w:val="center"/>
          </w:tcPr>
          <w:p w14:paraId="78BAB7E5">
            <w:pPr>
              <w:widowControl/>
              <w:spacing w:line="0" w:lineRule="atLeast"/>
              <w:jc w:val="center"/>
              <w:rPr>
                <w:rFonts w:cs="宋体" w:asciiTheme="majorEastAsia" w:hAnsiTheme="majorEastAsia" w:eastAsiaTheme="majorEastAsia"/>
                <w:kern w:val="0"/>
                <w:sz w:val="24"/>
                <w:szCs w:val="24"/>
              </w:rPr>
            </w:pPr>
            <w:r>
              <w:rPr>
                <w:rFonts w:hint="eastAsia" w:cs="宋体" w:asciiTheme="majorEastAsia" w:hAnsiTheme="majorEastAsia" w:eastAsiaTheme="majorEastAsia"/>
                <w:kern w:val="0"/>
                <w:sz w:val="24"/>
              </w:rPr>
              <w:t>序号</w:t>
            </w:r>
          </w:p>
        </w:tc>
        <w:tc>
          <w:tcPr>
            <w:tcW w:w="772" w:type="pct"/>
            <w:tcBorders>
              <w:top w:val="single" w:color="auto" w:sz="4" w:space="0"/>
              <w:left w:val="single" w:color="auto" w:sz="4" w:space="0"/>
              <w:bottom w:val="single" w:color="auto" w:sz="4" w:space="0"/>
              <w:right w:val="single" w:color="auto" w:sz="4" w:space="0"/>
            </w:tcBorders>
            <w:vAlign w:val="center"/>
          </w:tcPr>
          <w:p w14:paraId="3479C886">
            <w:pPr>
              <w:widowControl/>
              <w:spacing w:line="0" w:lineRule="atLeast"/>
              <w:jc w:val="center"/>
              <w:rPr>
                <w:rFonts w:cs="宋体" w:asciiTheme="majorEastAsia" w:hAnsiTheme="majorEastAsia" w:eastAsiaTheme="majorEastAsia"/>
                <w:kern w:val="0"/>
                <w:sz w:val="24"/>
                <w:szCs w:val="24"/>
              </w:rPr>
            </w:pPr>
            <w:r>
              <w:rPr>
                <w:rFonts w:hint="eastAsia" w:cs="宋体" w:asciiTheme="majorEastAsia" w:hAnsiTheme="majorEastAsia" w:eastAsiaTheme="majorEastAsia"/>
                <w:kern w:val="0"/>
                <w:sz w:val="24"/>
              </w:rPr>
              <w:t>标的名称</w:t>
            </w:r>
          </w:p>
        </w:tc>
        <w:tc>
          <w:tcPr>
            <w:tcW w:w="741" w:type="pct"/>
            <w:tcBorders>
              <w:top w:val="single" w:color="auto" w:sz="4" w:space="0"/>
              <w:left w:val="single" w:color="auto" w:sz="4" w:space="0"/>
              <w:bottom w:val="single" w:color="auto" w:sz="4" w:space="0"/>
              <w:right w:val="single" w:color="auto" w:sz="4" w:space="0"/>
            </w:tcBorders>
            <w:vAlign w:val="center"/>
          </w:tcPr>
          <w:p w14:paraId="73F1B0A7">
            <w:pPr>
              <w:widowControl/>
              <w:spacing w:line="0" w:lineRule="atLeast"/>
              <w:jc w:val="center"/>
              <w:rPr>
                <w:rFonts w:cs="宋体" w:asciiTheme="majorEastAsia" w:hAnsiTheme="majorEastAsia" w:eastAsiaTheme="majorEastAsia"/>
                <w:kern w:val="0"/>
                <w:sz w:val="24"/>
                <w:szCs w:val="24"/>
              </w:rPr>
            </w:pPr>
            <w:r>
              <w:rPr>
                <w:rFonts w:hint="eastAsia" w:cs="宋体" w:asciiTheme="majorEastAsia" w:hAnsiTheme="majorEastAsia" w:eastAsiaTheme="majorEastAsia"/>
                <w:kern w:val="0"/>
                <w:sz w:val="24"/>
              </w:rPr>
              <w:t>数量</w:t>
            </w:r>
          </w:p>
        </w:tc>
        <w:tc>
          <w:tcPr>
            <w:tcW w:w="3024" w:type="pct"/>
            <w:tcBorders>
              <w:top w:val="single" w:color="auto" w:sz="4" w:space="0"/>
              <w:left w:val="single" w:color="auto" w:sz="4" w:space="0"/>
              <w:bottom w:val="single" w:color="auto" w:sz="4" w:space="0"/>
              <w:right w:val="single" w:color="auto" w:sz="4" w:space="0"/>
            </w:tcBorders>
            <w:vAlign w:val="center"/>
          </w:tcPr>
          <w:p w14:paraId="426DAF73">
            <w:pPr>
              <w:widowControl/>
              <w:spacing w:line="0" w:lineRule="atLeast"/>
              <w:jc w:val="center"/>
              <w:rPr>
                <w:rFonts w:cs="宋体" w:asciiTheme="majorEastAsia" w:hAnsiTheme="majorEastAsia" w:eastAsiaTheme="majorEastAsia"/>
                <w:kern w:val="0"/>
                <w:sz w:val="24"/>
                <w:szCs w:val="24"/>
              </w:rPr>
            </w:pPr>
            <w:r>
              <w:rPr>
                <w:rFonts w:hint="eastAsia" w:cs="宋体" w:asciiTheme="majorEastAsia" w:hAnsiTheme="majorEastAsia" w:eastAsiaTheme="majorEastAsia"/>
                <w:kern w:val="0"/>
                <w:sz w:val="24"/>
              </w:rPr>
              <w:t>需求条款</w:t>
            </w:r>
          </w:p>
        </w:tc>
      </w:tr>
      <w:tr w14:paraId="709B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tcBorders>
              <w:top w:val="single" w:color="auto" w:sz="4" w:space="0"/>
              <w:left w:val="single" w:color="auto" w:sz="4" w:space="0"/>
              <w:bottom w:val="single" w:color="auto" w:sz="4" w:space="0"/>
              <w:right w:val="single" w:color="auto" w:sz="4" w:space="0"/>
            </w:tcBorders>
            <w:vAlign w:val="center"/>
          </w:tcPr>
          <w:p w14:paraId="095B23DF">
            <w:pPr>
              <w:widowControl/>
              <w:spacing w:line="0" w:lineRule="atLeast"/>
              <w:jc w:val="center"/>
              <w:rPr>
                <w:rFonts w:cs="宋体" w:asciiTheme="majorEastAsia" w:hAnsiTheme="majorEastAsia" w:eastAsiaTheme="majorEastAsia"/>
                <w:kern w:val="0"/>
                <w:sz w:val="24"/>
                <w:szCs w:val="21"/>
              </w:rPr>
            </w:pPr>
            <w:r>
              <w:rPr>
                <w:rFonts w:hint="eastAsia" w:cs="宋体" w:asciiTheme="majorEastAsia" w:hAnsiTheme="majorEastAsia" w:eastAsiaTheme="majorEastAsia"/>
                <w:kern w:val="0"/>
                <w:sz w:val="24"/>
                <w:szCs w:val="21"/>
              </w:rPr>
              <w:t>1</w:t>
            </w:r>
          </w:p>
        </w:tc>
        <w:tc>
          <w:tcPr>
            <w:tcW w:w="772" w:type="pct"/>
            <w:tcBorders>
              <w:top w:val="single" w:color="auto" w:sz="4" w:space="0"/>
              <w:left w:val="single" w:color="auto" w:sz="4" w:space="0"/>
              <w:bottom w:val="single" w:color="auto" w:sz="4" w:space="0"/>
              <w:right w:val="single" w:color="auto" w:sz="4" w:space="0"/>
            </w:tcBorders>
            <w:vAlign w:val="center"/>
          </w:tcPr>
          <w:p w14:paraId="2CBDADA2">
            <w:pPr>
              <w:widowControl/>
              <w:spacing w:line="0" w:lineRule="atLeast"/>
              <w:jc w:val="center"/>
              <w:rPr>
                <w:rFonts w:cs="宋体" w:asciiTheme="majorEastAsia" w:hAnsiTheme="majorEastAsia" w:eastAsiaTheme="majorEastAsia"/>
                <w:kern w:val="0"/>
                <w:sz w:val="24"/>
                <w:szCs w:val="21"/>
              </w:rPr>
            </w:pPr>
            <w:r>
              <w:rPr>
                <w:rFonts w:hint="eastAsia"/>
                <w:sz w:val="24"/>
              </w:rPr>
              <w:t>▲</w:t>
            </w:r>
            <w:r>
              <w:rPr>
                <w:rFonts w:hint="eastAsia" w:cs="宋体" w:asciiTheme="majorEastAsia" w:hAnsiTheme="majorEastAsia" w:eastAsiaTheme="majorEastAsia"/>
                <w:kern w:val="0"/>
                <w:sz w:val="24"/>
                <w:szCs w:val="21"/>
              </w:rPr>
              <w:t>血红蛋白样本收集卡</w:t>
            </w:r>
          </w:p>
        </w:tc>
        <w:tc>
          <w:tcPr>
            <w:tcW w:w="741" w:type="pct"/>
            <w:tcBorders>
              <w:top w:val="single" w:color="auto" w:sz="4" w:space="0"/>
              <w:left w:val="single" w:color="auto" w:sz="4" w:space="0"/>
              <w:bottom w:val="single" w:color="auto" w:sz="4" w:space="0"/>
              <w:right w:val="single" w:color="auto" w:sz="4" w:space="0"/>
            </w:tcBorders>
            <w:vAlign w:val="center"/>
          </w:tcPr>
          <w:p w14:paraId="625FD0C1">
            <w:pPr>
              <w:spacing w:line="0" w:lineRule="atLeast"/>
              <w:jc w:val="center"/>
              <w:rPr>
                <w:rFonts w:cs="宋体" w:asciiTheme="majorEastAsia" w:hAnsiTheme="majorEastAsia" w:eastAsiaTheme="majorEastAsia"/>
                <w:kern w:val="0"/>
                <w:sz w:val="24"/>
                <w:szCs w:val="21"/>
              </w:rPr>
            </w:pPr>
            <w:r>
              <w:rPr>
                <w:rFonts w:cs="宋体" w:asciiTheme="majorEastAsia" w:hAnsiTheme="majorEastAsia" w:eastAsiaTheme="majorEastAsia"/>
                <w:color w:val="FF0000"/>
                <w:kern w:val="0"/>
                <w:sz w:val="24"/>
                <w:szCs w:val="21"/>
              </w:rPr>
              <w:t>1</w:t>
            </w:r>
            <w:r>
              <w:rPr>
                <w:rFonts w:hint="eastAsia" w:cs="宋体" w:asciiTheme="majorEastAsia" w:hAnsiTheme="majorEastAsia" w:eastAsiaTheme="majorEastAsia"/>
                <w:color w:val="FF0000"/>
                <w:kern w:val="0"/>
                <w:sz w:val="24"/>
                <w:szCs w:val="21"/>
                <w:lang w:val="en-US" w:eastAsia="zh-CN"/>
              </w:rPr>
              <w:t>50</w:t>
            </w:r>
            <w:r>
              <w:rPr>
                <w:rFonts w:cs="宋体" w:asciiTheme="majorEastAsia" w:hAnsiTheme="majorEastAsia" w:eastAsiaTheme="majorEastAsia"/>
                <w:color w:val="FF0000"/>
                <w:kern w:val="0"/>
                <w:sz w:val="24"/>
                <w:szCs w:val="21"/>
              </w:rPr>
              <w:t>000</w:t>
            </w:r>
            <w:r>
              <w:rPr>
                <w:rFonts w:hint="eastAsia" w:cs="宋体" w:asciiTheme="majorEastAsia" w:hAnsiTheme="majorEastAsia" w:eastAsiaTheme="majorEastAsia"/>
                <w:kern w:val="0"/>
                <w:sz w:val="24"/>
                <w:szCs w:val="21"/>
              </w:rPr>
              <w:t>人份</w:t>
            </w:r>
          </w:p>
        </w:tc>
        <w:tc>
          <w:tcPr>
            <w:tcW w:w="3024" w:type="pct"/>
            <w:tcBorders>
              <w:top w:val="single" w:color="auto" w:sz="4" w:space="0"/>
              <w:left w:val="single" w:color="auto" w:sz="4" w:space="0"/>
              <w:bottom w:val="single" w:color="auto" w:sz="4" w:space="0"/>
              <w:right w:val="single" w:color="auto" w:sz="4" w:space="0"/>
            </w:tcBorders>
            <w:vAlign w:val="center"/>
          </w:tcPr>
          <w:p w14:paraId="02F23F79">
            <w:pPr>
              <w:spacing w:line="0" w:lineRule="atLeast"/>
              <w:jc w:val="left"/>
              <w:rPr>
                <w:rFonts w:asciiTheme="majorEastAsia" w:hAnsiTheme="majorEastAsia" w:eastAsiaTheme="majorEastAsia"/>
                <w:sz w:val="24"/>
                <w:szCs w:val="21"/>
              </w:rPr>
            </w:pPr>
            <w:r>
              <w:rPr>
                <w:rFonts w:hint="eastAsia" w:asciiTheme="majorEastAsia" w:hAnsiTheme="majorEastAsia" w:eastAsiaTheme="majorEastAsia"/>
                <w:sz w:val="24"/>
                <w:szCs w:val="21"/>
              </w:rPr>
              <w:t>一、产品用途：用于定量检测全血样本中的血红蛋白含量。</w:t>
            </w:r>
          </w:p>
          <w:p w14:paraId="2DC94FF6">
            <w:pPr>
              <w:spacing w:line="0" w:lineRule="atLeast"/>
              <w:jc w:val="left"/>
              <w:rPr>
                <w:rFonts w:asciiTheme="majorEastAsia" w:hAnsiTheme="majorEastAsia" w:eastAsiaTheme="majorEastAsia"/>
                <w:sz w:val="24"/>
                <w:szCs w:val="21"/>
              </w:rPr>
            </w:pPr>
            <w:r>
              <w:rPr>
                <w:rFonts w:hint="eastAsia" w:asciiTheme="majorEastAsia" w:hAnsiTheme="majorEastAsia" w:eastAsiaTheme="majorEastAsia"/>
                <w:sz w:val="24"/>
                <w:szCs w:val="21"/>
              </w:rPr>
              <w:t>二、技术参数：</w:t>
            </w:r>
          </w:p>
          <w:p w14:paraId="75700D3E">
            <w:pPr>
              <w:spacing w:line="0" w:lineRule="atLeast"/>
              <w:jc w:val="left"/>
              <w:rPr>
                <w:rFonts w:asciiTheme="majorEastAsia" w:hAnsiTheme="majorEastAsia" w:eastAsiaTheme="majorEastAsia"/>
                <w:sz w:val="24"/>
                <w:szCs w:val="21"/>
              </w:rPr>
            </w:pPr>
            <w:r>
              <w:rPr>
                <w:rFonts w:hint="eastAsia" w:asciiTheme="majorEastAsia" w:hAnsiTheme="majorEastAsia" w:eastAsiaTheme="majorEastAsia"/>
                <w:sz w:val="24"/>
                <w:szCs w:val="21"/>
              </w:rPr>
              <w:t>1、血红蛋白样本收集卡由聚苯乙烯塑料和湿润剂组成，无任何化学试剂成分。</w:t>
            </w:r>
          </w:p>
          <w:p w14:paraId="365AC39C">
            <w:pPr>
              <w:spacing w:line="0" w:lineRule="atLeast"/>
              <w:jc w:val="left"/>
              <w:rPr>
                <w:rFonts w:asciiTheme="majorEastAsia" w:hAnsiTheme="majorEastAsia" w:eastAsiaTheme="majorEastAsia"/>
                <w:sz w:val="24"/>
                <w:szCs w:val="21"/>
              </w:rPr>
            </w:pPr>
            <w:r>
              <w:rPr>
                <w:rFonts w:hint="eastAsia" w:asciiTheme="majorEastAsia" w:hAnsiTheme="majorEastAsia" w:eastAsiaTheme="majorEastAsia"/>
                <w:sz w:val="24"/>
                <w:szCs w:val="21"/>
              </w:rPr>
              <w:t>2、检测原理：基于分光光度计检测原理，在Hb/HbO2d 的等消光点下测量吸光度，采用双波长（506nm 和880nm）检测，以校正浊度可能带来的误差。</w:t>
            </w:r>
          </w:p>
          <w:p w14:paraId="4833BE0C">
            <w:pPr>
              <w:spacing w:line="0" w:lineRule="atLeast"/>
              <w:jc w:val="left"/>
              <w:rPr>
                <w:rFonts w:asciiTheme="majorEastAsia" w:hAnsiTheme="majorEastAsia" w:eastAsiaTheme="majorEastAsia"/>
                <w:sz w:val="24"/>
                <w:szCs w:val="21"/>
              </w:rPr>
            </w:pPr>
            <w:r>
              <w:rPr>
                <w:rFonts w:hint="eastAsia" w:asciiTheme="majorEastAsia" w:hAnsiTheme="majorEastAsia" w:eastAsiaTheme="majorEastAsia"/>
                <w:sz w:val="24"/>
                <w:szCs w:val="21"/>
              </w:rPr>
              <w:t>3、检测时间：样本收集卡与配套的血红蛋白分析仪一起使用时，仪器检测并显示血红蛋白值的时间不超过3 秒，只要样品架始终位于测量位置，该结果需持续显示。</w:t>
            </w:r>
          </w:p>
          <w:p w14:paraId="257DFE72">
            <w:pPr>
              <w:spacing w:line="0" w:lineRule="atLeast"/>
              <w:jc w:val="left"/>
              <w:rPr>
                <w:rFonts w:asciiTheme="majorEastAsia" w:hAnsiTheme="majorEastAsia" w:eastAsiaTheme="majorEastAsia"/>
                <w:sz w:val="24"/>
                <w:szCs w:val="21"/>
              </w:rPr>
            </w:pPr>
            <w:r>
              <w:rPr>
                <w:rFonts w:hint="eastAsia" w:asciiTheme="majorEastAsia" w:hAnsiTheme="majorEastAsia" w:eastAsiaTheme="majorEastAsia"/>
                <w:sz w:val="24"/>
                <w:szCs w:val="21"/>
              </w:rPr>
              <w:t>4、样本要求：毛细血管、静脉及动脉血管血液样本均可用于测量，样本量要求：不高于10μL 全血。</w:t>
            </w:r>
          </w:p>
          <w:p w14:paraId="6C334110">
            <w:pPr>
              <w:spacing w:line="0" w:lineRule="atLeast"/>
              <w:jc w:val="left"/>
              <w:rPr>
                <w:rFonts w:asciiTheme="majorEastAsia" w:hAnsiTheme="majorEastAsia" w:eastAsiaTheme="majorEastAsia"/>
                <w:sz w:val="24"/>
                <w:szCs w:val="21"/>
              </w:rPr>
            </w:pPr>
            <w:r>
              <w:rPr>
                <w:rFonts w:hint="eastAsia" w:asciiTheme="majorEastAsia" w:hAnsiTheme="majorEastAsia" w:eastAsiaTheme="majorEastAsia"/>
                <w:sz w:val="24"/>
                <w:szCs w:val="21"/>
              </w:rPr>
              <w:t>5、线性范围：线性范围（0-256）g/L，线性相关系数r 应≥0.99</w:t>
            </w:r>
          </w:p>
          <w:p w14:paraId="69863F20">
            <w:pPr>
              <w:spacing w:line="0" w:lineRule="atLeast"/>
              <w:jc w:val="left"/>
              <w:rPr>
                <w:rFonts w:asciiTheme="majorEastAsia" w:hAnsiTheme="majorEastAsia" w:eastAsiaTheme="majorEastAsia"/>
                <w:sz w:val="24"/>
                <w:szCs w:val="21"/>
              </w:rPr>
            </w:pPr>
            <w:r>
              <w:rPr>
                <w:rFonts w:hint="eastAsia" w:asciiTheme="majorEastAsia" w:hAnsiTheme="majorEastAsia" w:eastAsiaTheme="majorEastAsia"/>
                <w:sz w:val="24"/>
                <w:szCs w:val="21"/>
              </w:rPr>
              <w:t>6、重复性及批间差：测定值重复性的变异系数（CV%）应不大于3%；批间差变异系数（CV%）应不大于5%</w:t>
            </w:r>
          </w:p>
          <w:p w14:paraId="55F98B0C">
            <w:pPr>
              <w:spacing w:line="0" w:lineRule="atLeast"/>
              <w:jc w:val="left"/>
              <w:rPr>
                <w:rFonts w:asciiTheme="majorEastAsia" w:hAnsiTheme="majorEastAsia" w:eastAsiaTheme="majorEastAsia"/>
                <w:sz w:val="24"/>
                <w:szCs w:val="21"/>
              </w:rPr>
            </w:pPr>
            <w:r>
              <w:rPr>
                <w:rFonts w:hint="eastAsia" w:asciiTheme="majorEastAsia" w:hAnsiTheme="majorEastAsia" w:eastAsiaTheme="majorEastAsia"/>
                <w:sz w:val="24"/>
                <w:szCs w:val="21"/>
              </w:rPr>
              <w:t>7、测量范围： 0-25.6g/dL; 2-5 g/dL间的偏差在4%以内，5-25 g/dL 间的偏差在3%以内。</w:t>
            </w:r>
          </w:p>
          <w:p w14:paraId="3F296927">
            <w:pPr>
              <w:spacing w:line="0" w:lineRule="atLeast"/>
              <w:jc w:val="left"/>
              <w:rPr>
                <w:rFonts w:asciiTheme="majorEastAsia" w:hAnsiTheme="majorEastAsia" w:eastAsiaTheme="majorEastAsia"/>
                <w:sz w:val="24"/>
                <w:szCs w:val="21"/>
              </w:rPr>
            </w:pPr>
            <w:r>
              <w:rPr>
                <w:rFonts w:hint="eastAsia" w:asciiTheme="majorEastAsia" w:hAnsiTheme="majorEastAsia" w:eastAsiaTheme="majorEastAsia"/>
                <w:sz w:val="24"/>
                <w:szCs w:val="21"/>
              </w:rPr>
              <w:t>8、样本收集卡的有效期应自生产之日起，不少于24个月；中文说明书中需要针对小瓶中的样本收集卡在未开封和开封之后，可以使用的有效期限，以及样本收集卡在-18-10℃和40-50℃的不同条件下，分别能够存放的时间段，均需有明确规定。</w:t>
            </w:r>
          </w:p>
          <w:p w14:paraId="61FA12BF">
            <w:pPr>
              <w:spacing w:line="0" w:lineRule="atLeast"/>
              <w:jc w:val="left"/>
              <w:rPr>
                <w:rFonts w:asciiTheme="majorEastAsia" w:hAnsiTheme="majorEastAsia" w:eastAsiaTheme="majorEastAsia"/>
                <w:sz w:val="24"/>
                <w:szCs w:val="21"/>
              </w:rPr>
            </w:pPr>
            <w:r>
              <w:rPr>
                <w:rFonts w:hint="eastAsia" w:asciiTheme="majorEastAsia" w:hAnsiTheme="majorEastAsia" w:eastAsiaTheme="majorEastAsia"/>
                <w:sz w:val="24"/>
                <w:szCs w:val="21"/>
              </w:rPr>
              <w:t>三、配置要求：每盒4瓶，每瓶50个。</w:t>
            </w:r>
          </w:p>
        </w:tc>
      </w:tr>
    </w:tbl>
    <w:p w14:paraId="4AA5CBB3">
      <w:pPr>
        <w:spacing w:line="360" w:lineRule="auto"/>
        <w:ind w:firstLine="448" w:firstLineChars="200"/>
        <w:outlineLvl w:val="0"/>
        <w:rPr>
          <w:sz w:val="24"/>
        </w:rPr>
      </w:pPr>
      <w:r>
        <w:rPr>
          <w:rFonts w:hint="eastAsia"/>
          <w:sz w:val="24"/>
        </w:rPr>
        <w:t>加注“▲”号的产品为核心产品（如未明确核心产品，则视为全部产品均为核心产品），任意一种核心产品为同一品牌时，按照第三部分第32.4条款执行。</w:t>
      </w:r>
    </w:p>
    <w:p w14:paraId="48C3023E">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w:t>
      </w:r>
      <w:r>
        <w:rPr>
          <w:rFonts w:hint="eastAsia"/>
          <w:sz w:val="24"/>
          <w:szCs w:val="24"/>
        </w:rPr>
        <w:t>商务要求</w:t>
      </w:r>
    </w:p>
    <w:p w14:paraId="19C0A40C">
      <w:pPr>
        <w:autoSpaceDE w:val="0"/>
        <w:autoSpaceDN w:val="0"/>
        <w:adjustRightInd w:val="0"/>
        <w:spacing w:line="360" w:lineRule="auto"/>
        <w:ind w:firstLine="448" w:firstLineChars="200"/>
        <w:rPr>
          <w:sz w:val="24"/>
        </w:rPr>
      </w:pPr>
      <w:r>
        <w:rPr>
          <w:rFonts w:hint="eastAsia" w:cs="宋体"/>
          <w:kern w:val="0"/>
          <w:sz w:val="24"/>
          <w:szCs w:val="24"/>
        </w:rPr>
        <w:t>★</w:t>
      </w:r>
      <w:r>
        <w:rPr>
          <w:rFonts w:hint="eastAsia"/>
          <w:sz w:val="24"/>
        </w:rPr>
        <w:t>（一）报价要求</w:t>
      </w:r>
    </w:p>
    <w:p w14:paraId="64F51418">
      <w:pPr>
        <w:autoSpaceDE w:val="0"/>
        <w:autoSpaceDN w:val="0"/>
        <w:adjustRightInd w:val="0"/>
        <w:spacing w:line="360" w:lineRule="auto"/>
        <w:ind w:firstLine="448" w:firstLineChars="200"/>
        <w:rPr>
          <w:sz w:val="24"/>
        </w:rPr>
      </w:pPr>
      <w:r>
        <w:rPr>
          <w:rFonts w:hint="eastAsia"/>
          <w:sz w:val="24"/>
        </w:rPr>
        <w:t>1. 投标报价以人民币填列。</w:t>
      </w:r>
    </w:p>
    <w:p w14:paraId="2B5282C2">
      <w:pPr>
        <w:autoSpaceDE w:val="0"/>
        <w:autoSpaceDN w:val="0"/>
        <w:adjustRightInd w:val="0"/>
        <w:spacing w:line="360" w:lineRule="auto"/>
        <w:ind w:firstLine="448" w:firstLineChars="200"/>
        <w:rPr>
          <w:sz w:val="24"/>
        </w:rPr>
      </w:pPr>
      <w:r>
        <w:rPr>
          <w:rFonts w:hint="eastAsia"/>
          <w:sz w:val="24"/>
        </w:rPr>
        <w:t>2. 投标人的报价应包括：设备主机及附件货款、运输费、运输保险费、装卸费、安装调试费及利润税金等为完成招标文件规定的全部要求所需的一切费用。投标人所报价格为货到现场安装调试完成的最终优惠价格。</w:t>
      </w:r>
    </w:p>
    <w:p w14:paraId="45BD1070">
      <w:pPr>
        <w:autoSpaceDE w:val="0"/>
        <w:autoSpaceDN w:val="0"/>
        <w:adjustRightInd w:val="0"/>
        <w:spacing w:line="360" w:lineRule="auto"/>
        <w:ind w:firstLine="448" w:firstLineChars="200"/>
        <w:rPr>
          <w:sz w:val="24"/>
        </w:rPr>
      </w:pPr>
      <w:r>
        <w:rPr>
          <w:rFonts w:hint="eastAsia"/>
          <w:sz w:val="24"/>
        </w:rPr>
        <w:t>3. 验收及相关费用由投标人负责。</w:t>
      </w:r>
    </w:p>
    <w:p w14:paraId="12A24C40">
      <w:pPr>
        <w:autoSpaceDE w:val="0"/>
        <w:autoSpaceDN w:val="0"/>
        <w:adjustRightInd w:val="0"/>
        <w:spacing w:line="360" w:lineRule="auto"/>
        <w:ind w:firstLine="448" w:firstLineChars="200"/>
        <w:rPr>
          <w:sz w:val="24"/>
        </w:rPr>
      </w:pPr>
      <w:r>
        <w:rPr>
          <w:rFonts w:hint="eastAsia"/>
          <w:sz w:val="24"/>
        </w:rPr>
        <w:t>（二）服务要求</w:t>
      </w:r>
    </w:p>
    <w:p w14:paraId="0AEE7C7B">
      <w:pPr>
        <w:autoSpaceDE w:val="0"/>
        <w:autoSpaceDN w:val="0"/>
        <w:adjustRightInd w:val="0"/>
        <w:spacing w:line="360" w:lineRule="auto"/>
        <w:ind w:firstLine="448" w:firstLineChars="200"/>
        <w:rPr>
          <w:sz w:val="24"/>
        </w:rPr>
      </w:pPr>
      <w:r>
        <w:rPr>
          <w:rFonts w:hint="eastAsia"/>
          <w:sz w:val="24"/>
        </w:rPr>
        <w:t>1.提供所投产品须在产品有效期内，且所投产品到达时距离失效期详见“需求条款”。试剂在使用过程中，如有任何问题，保证2小时内答复，4小时内到达用户现场解决问题。</w:t>
      </w:r>
    </w:p>
    <w:p w14:paraId="030B2DB6">
      <w:pPr>
        <w:autoSpaceDE w:val="0"/>
        <w:autoSpaceDN w:val="0"/>
        <w:adjustRightInd w:val="0"/>
        <w:spacing w:line="360" w:lineRule="auto"/>
        <w:ind w:firstLine="448" w:firstLineChars="200"/>
        <w:rPr>
          <w:sz w:val="24"/>
        </w:rPr>
      </w:pPr>
      <w:r>
        <w:rPr>
          <w:rFonts w:hint="eastAsia"/>
          <w:sz w:val="24"/>
        </w:rPr>
        <w:t>2. 提供所投产品制造商服务机构情况，包括地址、联系方式及技术人员数量等。</w:t>
      </w:r>
    </w:p>
    <w:p w14:paraId="6C91F1E5">
      <w:pPr>
        <w:autoSpaceDE w:val="0"/>
        <w:autoSpaceDN w:val="0"/>
        <w:adjustRightInd w:val="0"/>
        <w:spacing w:line="360" w:lineRule="auto"/>
        <w:ind w:firstLine="448" w:firstLineChars="200"/>
        <w:rPr>
          <w:sz w:val="24"/>
        </w:rPr>
      </w:pPr>
      <w:r>
        <w:rPr>
          <w:rFonts w:hint="eastAsia" w:cs="宋体"/>
          <w:kern w:val="0"/>
          <w:sz w:val="24"/>
          <w:szCs w:val="24"/>
        </w:rPr>
        <w:t>★</w:t>
      </w:r>
      <w:r>
        <w:rPr>
          <w:rFonts w:hint="eastAsia"/>
          <w:sz w:val="24"/>
        </w:rPr>
        <w:t>（三）交货要求</w:t>
      </w:r>
    </w:p>
    <w:p w14:paraId="6198881E">
      <w:pPr>
        <w:autoSpaceDE w:val="0"/>
        <w:autoSpaceDN w:val="0"/>
        <w:adjustRightInd w:val="0"/>
        <w:spacing w:line="360" w:lineRule="auto"/>
        <w:ind w:firstLine="448" w:firstLineChars="200"/>
        <w:rPr>
          <w:sz w:val="24"/>
        </w:rPr>
      </w:pPr>
      <w:r>
        <w:rPr>
          <w:rFonts w:hint="eastAsia"/>
          <w:sz w:val="24"/>
        </w:rPr>
        <w:t>1. 交货期：</w:t>
      </w:r>
    </w:p>
    <w:p w14:paraId="2D2AA8EC">
      <w:pPr>
        <w:autoSpaceDE w:val="0"/>
        <w:autoSpaceDN w:val="0"/>
        <w:adjustRightInd w:val="0"/>
        <w:spacing w:line="360" w:lineRule="auto"/>
        <w:ind w:firstLine="448" w:firstLineChars="200"/>
        <w:rPr>
          <w:sz w:val="24"/>
        </w:rPr>
      </w:pPr>
      <w:r>
        <w:rPr>
          <w:rFonts w:hint="eastAsia"/>
          <w:sz w:val="24"/>
        </w:rPr>
        <w:t>货到时间：签订合同之日起按批次供货，自接到采购人供货要求后30日内（特殊情况以合同为准）。</w:t>
      </w:r>
    </w:p>
    <w:p w14:paraId="3435682F">
      <w:pPr>
        <w:autoSpaceDE w:val="0"/>
        <w:autoSpaceDN w:val="0"/>
        <w:adjustRightInd w:val="0"/>
        <w:spacing w:line="360" w:lineRule="auto"/>
        <w:ind w:firstLine="448" w:firstLineChars="200"/>
        <w:rPr>
          <w:sz w:val="24"/>
        </w:rPr>
      </w:pPr>
      <w:r>
        <w:rPr>
          <w:rFonts w:hint="eastAsia"/>
          <w:sz w:val="24"/>
        </w:rPr>
        <w:t>2. 交货地点：天津市黄河道424号（特殊情况以合同为准）。</w:t>
      </w:r>
    </w:p>
    <w:p w14:paraId="7DC8F55D">
      <w:pPr>
        <w:autoSpaceDE w:val="0"/>
        <w:autoSpaceDN w:val="0"/>
        <w:adjustRightInd w:val="0"/>
        <w:spacing w:line="360" w:lineRule="auto"/>
        <w:ind w:firstLine="448" w:firstLineChars="200"/>
        <w:rPr>
          <w:sz w:val="24"/>
        </w:rPr>
      </w:pPr>
      <w:r>
        <w:rPr>
          <w:rFonts w:hint="eastAsia"/>
          <w:sz w:val="24"/>
        </w:rPr>
        <w:t>3. 提供制造商完整的随机资料，包括完整的使用和维修手册等。</w:t>
      </w:r>
    </w:p>
    <w:p w14:paraId="2BB03847">
      <w:pPr>
        <w:autoSpaceDE w:val="0"/>
        <w:autoSpaceDN w:val="0"/>
        <w:adjustRightInd w:val="0"/>
        <w:spacing w:line="360" w:lineRule="auto"/>
        <w:ind w:firstLine="448" w:firstLineChars="200"/>
        <w:rPr>
          <w:sz w:val="24"/>
        </w:rPr>
      </w:pPr>
      <w:r>
        <w:rPr>
          <w:rFonts w:hint="eastAsia"/>
          <w:sz w:val="24"/>
        </w:rPr>
        <w:t>4. 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5121EC8A">
      <w:pPr>
        <w:autoSpaceDE w:val="0"/>
        <w:autoSpaceDN w:val="0"/>
        <w:adjustRightInd w:val="0"/>
        <w:spacing w:line="360" w:lineRule="auto"/>
        <w:ind w:firstLine="448" w:firstLineChars="200"/>
        <w:rPr>
          <w:sz w:val="24"/>
        </w:rPr>
      </w:pPr>
      <w:r>
        <w:rPr>
          <w:rFonts w:hint="eastAsia" w:cs="宋体"/>
          <w:kern w:val="0"/>
          <w:sz w:val="24"/>
          <w:szCs w:val="24"/>
        </w:rPr>
        <w:t>★</w:t>
      </w:r>
      <w:r>
        <w:rPr>
          <w:rFonts w:hint="eastAsia"/>
          <w:sz w:val="24"/>
        </w:rPr>
        <w:t>（四）付款方式</w:t>
      </w:r>
    </w:p>
    <w:p w14:paraId="1EED71B6">
      <w:pPr>
        <w:autoSpaceDE w:val="0"/>
        <w:autoSpaceDN w:val="0"/>
        <w:adjustRightInd w:val="0"/>
        <w:spacing w:line="360" w:lineRule="auto"/>
        <w:ind w:firstLine="448" w:firstLineChars="200"/>
        <w:rPr>
          <w:sz w:val="24"/>
        </w:rPr>
      </w:pPr>
      <w:r>
        <w:rPr>
          <w:rFonts w:hint="eastAsia"/>
          <w:sz w:val="24"/>
        </w:rPr>
        <w:t>合同期内，按批次供货，每批货物交货并经验收及质量抽检合格后，采购人向中标供应商一次性支付该批货款总额的100%金额，最终结算总额不得超过中标价格（特殊情况以合同为准）。</w:t>
      </w:r>
    </w:p>
    <w:p w14:paraId="044612B0">
      <w:pPr>
        <w:autoSpaceDE w:val="0"/>
        <w:autoSpaceDN w:val="0"/>
        <w:adjustRightInd w:val="0"/>
        <w:spacing w:line="360" w:lineRule="auto"/>
        <w:ind w:firstLine="448" w:firstLineChars="200"/>
        <w:rPr>
          <w:sz w:val="24"/>
        </w:rPr>
      </w:pPr>
      <w:r>
        <w:rPr>
          <w:rFonts w:hint="eastAsia" w:cs="宋体"/>
          <w:kern w:val="0"/>
          <w:sz w:val="24"/>
          <w:szCs w:val="24"/>
        </w:rPr>
        <w:t>★</w:t>
      </w:r>
      <w:r>
        <w:rPr>
          <w:rFonts w:hint="eastAsia"/>
          <w:sz w:val="24"/>
        </w:rPr>
        <w:t>（五）投标保证金和履约保证金</w:t>
      </w:r>
    </w:p>
    <w:p w14:paraId="3A122FC8">
      <w:pPr>
        <w:autoSpaceDE w:val="0"/>
        <w:autoSpaceDN w:val="0"/>
        <w:adjustRightInd w:val="0"/>
        <w:spacing w:line="360" w:lineRule="auto"/>
        <w:ind w:firstLine="448" w:firstLineChars="200"/>
        <w:rPr>
          <w:sz w:val="24"/>
        </w:rPr>
      </w:pPr>
      <w:r>
        <w:rPr>
          <w:rFonts w:hint="eastAsia"/>
          <w:sz w:val="24"/>
        </w:rPr>
        <w:t>本项目不收取投标保证金和履约保证金。</w:t>
      </w:r>
    </w:p>
    <w:p w14:paraId="0C02F2F7">
      <w:pPr>
        <w:autoSpaceDE w:val="0"/>
        <w:autoSpaceDN w:val="0"/>
        <w:adjustRightInd w:val="0"/>
        <w:spacing w:line="360" w:lineRule="auto"/>
        <w:ind w:firstLine="448" w:firstLineChars="200"/>
        <w:rPr>
          <w:sz w:val="24"/>
        </w:rPr>
      </w:pPr>
      <w:r>
        <w:rPr>
          <w:rFonts w:hint="eastAsia" w:cs="宋体"/>
          <w:kern w:val="0"/>
          <w:sz w:val="24"/>
          <w:szCs w:val="24"/>
        </w:rPr>
        <w:t>★</w:t>
      </w:r>
      <w:r>
        <w:rPr>
          <w:rFonts w:hint="eastAsia"/>
          <w:sz w:val="24"/>
        </w:rPr>
        <w:t>（六）验收方法及标准</w:t>
      </w:r>
    </w:p>
    <w:p w14:paraId="02812217">
      <w:pPr>
        <w:autoSpaceDE w:val="0"/>
        <w:autoSpaceDN w:val="0"/>
        <w:adjustRightInd w:val="0"/>
        <w:spacing w:line="360" w:lineRule="auto"/>
        <w:ind w:firstLine="448" w:firstLineChars="200"/>
        <w:rPr>
          <w:sz w:val="24"/>
        </w:rPr>
      </w:pPr>
      <w:r>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195961DA">
      <w:pPr>
        <w:autoSpaceDN w:val="0"/>
        <w:spacing w:line="360" w:lineRule="auto"/>
        <w:jc w:val="center"/>
        <w:rPr>
          <w:b/>
          <w:bCs/>
          <w:sz w:val="24"/>
        </w:rPr>
      </w:pPr>
      <w:bookmarkStart w:id="1" w:name="_GoBack"/>
      <w:bookmarkEnd w:id="1"/>
    </w:p>
    <w:sectPr>
      <w:headerReference r:id="rId3" w:type="default"/>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F8125">
    <w:pPr>
      <w:pStyle w:val="11"/>
      <w:jc w:val="center"/>
    </w:pPr>
    <w:r>
      <w:rPr>
        <w:b/>
      </w:rPr>
      <w:fldChar w:fldCharType="begin"/>
    </w:r>
    <w:r>
      <w:rPr>
        <w:b/>
      </w:rPr>
      <w:instrText xml:space="preserve">PAGE  \* Arabic  \* MERGEFORMAT</w:instrText>
    </w:r>
    <w:r>
      <w:rPr>
        <w:b/>
      </w:rPr>
      <w:fldChar w:fldCharType="separate"/>
    </w:r>
    <w:r>
      <w:rPr>
        <w:b/>
        <w:lang w:val="zh-CN"/>
      </w:rPr>
      <w:t>40</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F9ECA">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B73"/>
    <w:rsid w:val="00013068"/>
    <w:rsid w:val="00013701"/>
    <w:rsid w:val="00014723"/>
    <w:rsid w:val="00015213"/>
    <w:rsid w:val="000159C9"/>
    <w:rsid w:val="00015B77"/>
    <w:rsid w:val="00015BDB"/>
    <w:rsid w:val="00017C2D"/>
    <w:rsid w:val="00020A5D"/>
    <w:rsid w:val="000227B2"/>
    <w:rsid w:val="00025E3C"/>
    <w:rsid w:val="00025ECE"/>
    <w:rsid w:val="00026AF4"/>
    <w:rsid w:val="00027099"/>
    <w:rsid w:val="000308AC"/>
    <w:rsid w:val="00030BD8"/>
    <w:rsid w:val="00032015"/>
    <w:rsid w:val="00033B62"/>
    <w:rsid w:val="00033D1E"/>
    <w:rsid w:val="000361B9"/>
    <w:rsid w:val="00036A32"/>
    <w:rsid w:val="00037BDD"/>
    <w:rsid w:val="000403B6"/>
    <w:rsid w:val="0004130F"/>
    <w:rsid w:val="00042FFE"/>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565D"/>
    <w:rsid w:val="00065BDD"/>
    <w:rsid w:val="000671A1"/>
    <w:rsid w:val="0007081F"/>
    <w:rsid w:val="00071F3B"/>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5CEA"/>
    <w:rsid w:val="000B0D7B"/>
    <w:rsid w:val="000B21CD"/>
    <w:rsid w:val="000B2506"/>
    <w:rsid w:val="000B2975"/>
    <w:rsid w:val="000B29CB"/>
    <w:rsid w:val="000B31DE"/>
    <w:rsid w:val="000B4C9D"/>
    <w:rsid w:val="000B540E"/>
    <w:rsid w:val="000B72CD"/>
    <w:rsid w:val="000C01FF"/>
    <w:rsid w:val="000C103D"/>
    <w:rsid w:val="000C337F"/>
    <w:rsid w:val="000C6CA8"/>
    <w:rsid w:val="000C7A3F"/>
    <w:rsid w:val="000D1C81"/>
    <w:rsid w:val="000D26D7"/>
    <w:rsid w:val="000D2F5A"/>
    <w:rsid w:val="000D345E"/>
    <w:rsid w:val="000D49A7"/>
    <w:rsid w:val="000D514E"/>
    <w:rsid w:val="000D5368"/>
    <w:rsid w:val="000D54DD"/>
    <w:rsid w:val="000D601F"/>
    <w:rsid w:val="000D6F7A"/>
    <w:rsid w:val="000D7FC5"/>
    <w:rsid w:val="000E45F4"/>
    <w:rsid w:val="000E50F9"/>
    <w:rsid w:val="000E6A76"/>
    <w:rsid w:val="000F106F"/>
    <w:rsid w:val="000F1202"/>
    <w:rsid w:val="000F1454"/>
    <w:rsid w:val="000F48D9"/>
    <w:rsid w:val="000F53CB"/>
    <w:rsid w:val="000F5C82"/>
    <w:rsid w:val="000F6957"/>
    <w:rsid w:val="001001A6"/>
    <w:rsid w:val="00104096"/>
    <w:rsid w:val="001046D2"/>
    <w:rsid w:val="00104EFC"/>
    <w:rsid w:val="0010588B"/>
    <w:rsid w:val="00106540"/>
    <w:rsid w:val="001106F6"/>
    <w:rsid w:val="001165C6"/>
    <w:rsid w:val="00121CDE"/>
    <w:rsid w:val="001256ED"/>
    <w:rsid w:val="001274EC"/>
    <w:rsid w:val="00132C05"/>
    <w:rsid w:val="00132D32"/>
    <w:rsid w:val="00132DE7"/>
    <w:rsid w:val="001351F5"/>
    <w:rsid w:val="00135D96"/>
    <w:rsid w:val="00136F51"/>
    <w:rsid w:val="001411F4"/>
    <w:rsid w:val="00141664"/>
    <w:rsid w:val="00141B0C"/>
    <w:rsid w:val="00143B4D"/>
    <w:rsid w:val="001447F4"/>
    <w:rsid w:val="00145E32"/>
    <w:rsid w:val="0014634C"/>
    <w:rsid w:val="00150AC9"/>
    <w:rsid w:val="001515D5"/>
    <w:rsid w:val="001524A8"/>
    <w:rsid w:val="00154232"/>
    <w:rsid w:val="00155128"/>
    <w:rsid w:val="00156E5D"/>
    <w:rsid w:val="00157876"/>
    <w:rsid w:val="001659F0"/>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86509"/>
    <w:rsid w:val="001871EE"/>
    <w:rsid w:val="00193BCD"/>
    <w:rsid w:val="0019431D"/>
    <w:rsid w:val="00194FBC"/>
    <w:rsid w:val="00196D6B"/>
    <w:rsid w:val="00196DEC"/>
    <w:rsid w:val="00196E07"/>
    <w:rsid w:val="00197438"/>
    <w:rsid w:val="001A2919"/>
    <w:rsid w:val="001A2A8A"/>
    <w:rsid w:val="001A3DE3"/>
    <w:rsid w:val="001A3DF5"/>
    <w:rsid w:val="001A46F9"/>
    <w:rsid w:val="001A575B"/>
    <w:rsid w:val="001B105C"/>
    <w:rsid w:val="001B5BEA"/>
    <w:rsid w:val="001C07D1"/>
    <w:rsid w:val="001C0E64"/>
    <w:rsid w:val="001C1981"/>
    <w:rsid w:val="001C50CC"/>
    <w:rsid w:val="001C7255"/>
    <w:rsid w:val="001D0626"/>
    <w:rsid w:val="001D085A"/>
    <w:rsid w:val="001D1850"/>
    <w:rsid w:val="001E3CB7"/>
    <w:rsid w:val="001E50CB"/>
    <w:rsid w:val="001E60D0"/>
    <w:rsid w:val="001F29BC"/>
    <w:rsid w:val="001F2B50"/>
    <w:rsid w:val="001F3072"/>
    <w:rsid w:val="001F345B"/>
    <w:rsid w:val="001F65EF"/>
    <w:rsid w:val="00200D66"/>
    <w:rsid w:val="002027E3"/>
    <w:rsid w:val="002038E8"/>
    <w:rsid w:val="00204D75"/>
    <w:rsid w:val="00205E15"/>
    <w:rsid w:val="0020642D"/>
    <w:rsid w:val="002069C9"/>
    <w:rsid w:val="0020728D"/>
    <w:rsid w:val="002109B5"/>
    <w:rsid w:val="00210D0A"/>
    <w:rsid w:val="002113A2"/>
    <w:rsid w:val="00212E26"/>
    <w:rsid w:val="00212FB4"/>
    <w:rsid w:val="00214D65"/>
    <w:rsid w:val="00215D4A"/>
    <w:rsid w:val="0021638D"/>
    <w:rsid w:val="00217746"/>
    <w:rsid w:val="00217960"/>
    <w:rsid w:val="002257BA"/>
    <w:rsid w:val="00225C2F"/>
    <w:rsid w:val="00226572"/>
    <w:rsid w:val="002272E2"/>
    <w:rsid w:val="00227A0F"/>
    <w:rsid w:val="00230077"/>
    <w:rsid w:val="00230690"/>
    <w:rsid w:val="002314E2"/>
    <w:rsid w:val="00232BC6"/>
    <w:rsid w:val="00233239"/>
    <w:rsid w:val="00243DC1"/>
    <w:rsid w:val="00244482"/>
    <w:rsid w:val="0024790F"/>
    <w:rsid w:val="00251ED7"/>
    <w:rsid w:val="0025218F"/>
    <w:rsid w:val="00261C83"/>
    <w:rsid w:val="0026492F"/>
    <w:rsid w:val="00264DF9"/>
    <w:rsid w:val="00264E75"/>
    <w:rsid w:val="00264E8A"/>
    <w:rsid w:val="00265B2C"/>
    <w:rsid w:val="00266956"/>
    <w:rsid w:val="002729BD"/>
    <w:rsid w:val="00272A86"/>
    <w:rsid w:val="00272D63"/>
    <w:rsid w:val="00274CF5"/>
    <w:rsid w:val="00277427"/>
    <w:rsid w:val="00277F5E"/>
    <w:rsid w:val="002804EC"/>
    <w:rsid w:val="002825B2"/>
    <w:rsid w:val="00283423"/>
    <w:rsid w:val="002926DE"/>
    <w:rsid w:val="00292BE5"/>
    <w:rsid w:val="00293728"/>
    <w:rsid w:val="0029386D"/>
    <w:rsid w:val="00293B4A"/>
    <w:rsid w:val="002948B5"/>
    <w:rsid w:val="00294986"/>
    <w:rsid w:val="00294EAF"/>
    <w:rsid w:val="0029610C"/>
    <w:rsid w:val="0029775E"/>
    <w:rsid w:val="00297EAE"/>
    <w:rsid w:val="002A4B3C"/>
    <w:rsid w:val="002B3BB4"/>
    <w:rsid w:val="002B6ADE"/>
    <w:rsid w:val="002C0F2A"/>
    <w:rsid w:val="002C3C8C"/>
    <w:rsid w:val="002C4E11"/>
    <w:rsid w:val="002C696D"/>
    <w:rsid w:val="002C7FE4"/>
    <w:rsid w:val="002D09CD"/>
    <w:rsid w:val="002D1260"/>
    <w:rsid w:val="002D17E4"/>
    <w:rsid w:val="002D5606"/>
    <w:rsid w:val="002D57F1"/>
    <w:rsid w:val="002D5B4E"/>
    <w:rsid w:val="002D660E"/>
    <w:rsid w:val="002D6B22"/>
    <w:rsid w:val="002D6B57"/>
    <w:rsid w:val="002E4011"/>
    <w:rsid w:val="002E568D"/>
    <w:rsid w:val="002E65F8"/>
    <w:rsid w:val="002E7C08"/>
    <w:rsid w:val="002F1119"/>
    <w:rsid w:val="002F245E"/>
    <w:rsid w:val="002F400E"/>
    <w:rsid w:val="002F4792"/>
    <w:rsid w:val="002F6037"/>
    <w:rsid w:val="002F75BC"/>
    <w:rsid w:val="003066A9"/>
    <w:rsid w:val="0031086D"/>
    <w:rsid w:val="00315341"/>
    <w:rsid w:val="00321DA5"/>
    <w:rsid w:val="003221D8"/>
    <w:rsid w:val="00322EA4"/>
    <w:rsid w:val="00323692"/>
    <w:rsid w:val="00324EB9"/>
    <w:rsid w:val="0032567E"/>
    <w:rsid w:val="00325832"/>
    <w:rsid w:val="003265E2"/>
    <w:rsid w:val="003337F2"/>
    <w:rsid w:val="00333A1D"/>
    <w:rsid w:val="00335A65"/>
    <w:rsid w:val="0034183E"/>
    <w:rsid w:val="00343849"/>
    <w:rsid w:val="00345AC5"/>
    <w:rsid w:val="003477F1"/>
    <w:rsid w:val="003505E3"/>
    <w:rsid w:val="0035257E"/>
    <w:rsid w:val="0035599B"/>
    <w:rsid w:val="00355EEA"/>
    <w:rsid w:val="003562E3"/>
    <w:rsid w:val="00361368"/>
    <w:rsid w:val="00363D42"/>
    <w:rsid w:val="00363F2E"/>
    <w:rsid w:val="00364265"/>
    <w:rsid w:val="003663EE"/>
    <w:rsid w:val="00366C53"/>
    <w:rsid w:val="003672D3"/>
    <w:rsid w:val="0037085F"/>
    <w:rsid w:val="0037342A"/>
    <w:rsid w:val="00373A37"/>
    <w:rsid w:val="00374230"/>
    <w:rsid w:val="00374D2C"/>
    <w:rsid w:val="00376CAA"/>
    <w:rsid w:val="00377781"/>
    <w:rsid w:val="00377EF3"/>
    <w:rsid w:val="003801AB"/>
    <w:rsid w:val="00380538"/>
    <w:rsid w:val="0038382B"/>
    <w:rsid w:val="00383878"/>
    <w:rsid w:val="003839AE"/>
    <w:rsid w:val="00383A58"/>
    <w:rsid w:val="00383B18"/>
    <w:rsid w:val="00384631"/>
    <w:rsid w:val="003860F9"/>
    <w:rsid w:val="00386875"/>
    <w:rsid w:val="0039145C"/>
    <w:rsid w:val="003918BD"/>
    <w:rsid w:val="00391FD0"/>
    <w:rsid w:val="0039235B"/>
    <w:rsid w:val="00393F48"/>
    <w:rsid w:val="00394B36"/>
    <w:rsid w:val="00395727"/>
    <w:rsid w:val="003A0B76"/>
    <w:rsid w:val="003A257C"/>
    <w:rsid w:val="003A40F1"/>
    <w:rsid w:val="003A4B1D"/>
    <w:rsid w:val="003A58F8"/>
    <w:rsid w:val="003A663E"/>
    <w:rsid w:val="003A6738"/>
    <w:rsid w:val="003A7FE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1FEF"/>
    <w:rsid w:val="003D2407"/>
    <w:rsid w:val="003D2EF8"/>
    <w:rsid w:val="003D3CDA"/>
    <w:rsid w:val="003D4505"/>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325E"/>
    <w:rsid w:val="003F3F8E"/>
    <w:rsid w:val="003F579C"/>
    <w:rsid w:val="003F68DF"/>
    <w:rsid w:val="003F69B9"/>
    <w:rsid w:val="003F6B18"/>
    <w:rsid w:val="003F7F16"/>
    <w:rsid w:val="0040134A"/>
    <w:rsid w:val="00401867"/>
    <w:rsid w:val="00402BE6"/>
    <w:rsid w:val="00402ED1"/>
    <w:rsid w:val="00403BA8"/>
    <w:rsid w:val="0040538D"/>
    <w:rsid w:val="0040553A"/>
    <w:rsid w:val="0040569C"/>
    <w:rsid w:val="00406872"/>
    <w:rsid w:val="00407DE0"/>
    <w:rsid w:val="00410A95"/>
    <w:rsid w:val="00411297"/>
    <w:rsid w:val="00411416"/>
    <w:rsid w:val="0041250C"/>
    <w:rsid w:val="00412894"/>
    <w:rsid w:val="0041318B"/>
    <w:rsid w:val="00414FAB"/>
    <w:rsid w:val="004153D6"/>
    <w:rsid w:val="00415D1E"/>
    <w:rsid w:val="00415D39"/>
    <w:rsid w:val="00416AFE"/>
    <w:rsid w:val="00416BC0"/>
    <w:rsid w:val="0041737D"/>
    <w:rsid w:val="004176FC"/>
    <w:rsid w:val="00417F8F"/>
    <w:rsid w:val="00421918"/>
    <w:rsid w:val="00424D37"/>
    <w:rsid w:val="004267C9"/>
    <w:rsid w:val="00426F8D"/>
    <w:rsid w:val="00427F8D"/>
    <w:rsid w:val="00431536"/>
    <w:rsid w:val="0043169C"/>
    <w:rsid w:val="00431C42"/>
    <w:rsid w:val="00432C99"/>
    <w:rsid w:val="00436041"/>
    <w:rsid w:val="00436E67"/>
    <w:rsid w:val="004377AC"/>
    <w:rsid w:val="00441382"/>
    <w:rsid w:val="004424FE"/>
    <w:rsid w:val="00442682"/>
    <w:rsid w:val="00443C74"/>
    <w:rsid w:val="00443E07"/>
    <w:rsid w:val="00445313"/>
    <w:rsid w:val="00453FB9"/>
    <w:rsid w:val="004559D5"/>
    <w:rsid w:val="00457B84"/>
    <w:rsid w:val="00457D0B"/>
    <w:rsid w:val="00460809"/>
    <w:rsid w:val="00460C8D"/>
    <w:rsid w:val="00461A5D"/>
    <w:rsid w:val="00462FA2"/>
    <w:rsid w:val="00464BB4"/>
    <w:rsid w:val="00466F3F"/>
    <w:rsid w:val="00471879"/>
    <w:rsid w:val="00472C82"/>
    <w:rsid w:val="00472DC8"/>
    <w:rsid w:val="0047362A"/>
    <w:rsid w:val="0047502B"/>
    <w:rsid w:val="004826E0"/>
    <w:rsid w:val="004832E9"/>
    <w:rsid w:val="004839E1"/>
    <w:rsid w:val="0048533D"/>
    <w:rsid w:val="00495B68"/>
    <w:rsid w:val="00495ECD"/>
    <w:rsid w:val="004A0F57"/>
    <w:rsid w:val="004A155E"/>
    <w:rsid w:val="004A2375"/>
    <w:rsid w:val="004A2BCE"/>
    <w:rsid w:val="004A2D6A"/>
    <w:rsid w:val="004A3709"/>
    <w:rsid w:val="004A3B65"/>
    <w:rsid w:val="004A3F5A"/>
    <w:rsid w:val="004A45DF"/>
    <w:rsid w:val="004A4E98"/>
    <w:rsid w:val="004A6A8F"/>
    <w:rsid w:val="004A7516"/>
    <w:rsid w:val="004A7F72"/>
    <w:rsid w:val="004B0FDF"/>
    <w:rsid w:val="004B49BD"/>
    <w:rsid w:val="004B51EB"/>
    <w:rsid w:val="004B535F"/>
    <w:rsid w:val="004B61FA"/>
    <w:rsid w:val="004B725D"/>
    <w:rsid w:val="004B752C"/>
    <w:rsid w:val="004C0CC2"/>
    <w:rsid w:val="004C174A"/>
    <w:rsid w:val="004C1EC2"/>
    <w:rsid w:val="004C560A"/>
    <w:rsid w:val="004D302F"/>
    <w:rsid w:val="004D3B7F"/>
    <w:rsid w:val="004D5AE3"/>
    <w:rsid w:val="004D6220"/>
    <w:rsid w:val="004D6293"/>
    <w:rsid w:val="004D6509"/>
    <w:rsid w:val="004D6546"/>
    <w:rsid w:val="004E0B40"/>
    <w:rsid w:val="004E0FFC"/>
    <w:rsid w:val="004E1075"/>
    <w:rsid w:val="004E3570"/>
    <w:rsid w:val="004E66AE"/>
    <w:rsid w:val="004E79BB"/>
    <w:rsid w:val="004F11D2"/>
    <w:rsid w:val="004F3B06"/>
    <w:rsid w:val="004F55DE"/>
    <w:rsid w:val="004F7B5C"/>
    <w:rsid w:val="00502349"/>
    <w:rsid w:val="00506CD1"/>
    <w:rsid w:val="00513A4E"/>
    <w:rsid w:val="00516E54"/>
    <w:rsid w:val="00517134"/>
    <w:rsid w:val="005201BE"/>
    <w:rsid w:val="00524604"/>
    <w:rsid w:val="0052549F"/>
    <w:rsid w:val="00525EE9"/>
    <w:rsid w:val="00526095"/>
    <w:rsid w:val="0053021A"/>
    <w:rsid w:val="00531EF6"/>
    <w:rsid w:val="005333BF"/>
    <w:rsid w:val="005349D4"/>
    <w:rsid w:val="00535629"/>
    <w:rsid w:val="00535A85"/>
    <w:rsid w:val="00537399"/>
    <w:rsid w:val="00537D63"/>
    <w:rsid w:val="005407BF"/>
    <w:rsid w:val="00542508"/>
    <w:rsid w:val="005437E5"/>
    <w:rsid w:val="00543F1D"/>
    <w:rsid w:val="005449BE"/>
    <w:rsid w:val="00544E43"/>
    <w:rsid w:val="00547881"/>
    <w:rsid w:val="00547F40"/>
    <w:rsid w:val="00550B2F"/>
    <w:rsid w:val="00551C70"/>
    <w:rsid w:val="00553774"/>
    <w:rsid w:val="0055739D"/>
    <w:rsid w:val="005574D9"/>
    <w:rsid w:val="0056011E"/>
    <w:rsid w:val="0056402A"/>
    <w:rsid w:val="005646DF"/>
    <w:rsid w:val="00566060"/>
    <w:rsid w:val="00566432"/>
    <w:rsid w:val="00566495"/>
    <w:rsid w:val="00570045"/>
    <w:rsid w:val="0057120E"/>
    <w:rsid w:val="005717B2"/>
    <w:rsid w:val="005719DA"/>
    <w:rsid w:val="00572060"/>
    <w:rsid w:val="00572118"/>
    <w:rsid w:val="00572E0A"/>
    <w:rsid w:val="005737C6"/>
    <w:rsid w:val="00574BC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96C86"/>
    <w:rsid w:val="005A0D25"/>
    <w:rsid w:val="005A34C8"/>
    <w:rsid w:val="005A55DB"/>
    <w:rsid w:val="005A6731"/>
    <w:rsid w:val="005A6EB0"/>
    <w:rsid w:val="005A7DFD"/>
    <w:rsid w:val="005B2918"/>
    <w:rsid w:val="005B4918"/>
    <w:rsid w:val="005B631B"/>
    <w:rsid w:val="005B6420"/>
    <w:rsid w:val="005C0821"/>
    <w:rsid w:val="005C176F"/>
    <w:rsid w:val="005C33F9"/>
    <w:rsid w:val="005C43CF"/>
    <w:rsid w:val="005C569D"/>
    <w:rsid w:val="005C5EB1"/>
    <w:rsid w:val="005D1B17"/>
    <w:rsid w:val="005D3074"/>
    <w:rsid w:val="005D3683"/>
    <w:rsid w:val="005D792B"/>
    <w:rsid w:val="005E2406"/>
    <w:rsid w:val="005E2966"/>
    <w:rsid w:val="005E3ADD"/>
    <w:rsid w:val="005E452A"/>
    <w:rsid w:val="005E57F2"/>
    <w:rsid w:val="005E6149"/>
    <w:rsid w:val="005E7FF4"/>
    <w:rsid w:val="005F09CC"/>
    <w:rsid w:val="005F12BB"/>
    <w:rsid w:val="005F1B3C"/>
    <w:rsid w:val="005F2890"/>
    <w:rsid w:val="005F297C"/>
    <w:rsid w:val="005F3CDB"/>
    <w:rsid w:val="005F3EB2"/>
    <w:rsid w:val="006001B2"/>
    <w:rsid w:val="006014DA"/>
    <w:rsid w:val="00603680"/>
    <w:rsid w:val="006038D0"/>
    <w:rsid w:val="00605AE2"/>
    <w:rsid w:val="006062C8"/>
    <w:rsid w:val="00607F7C"/>
    <w:rsid w:val="006102B4"/>
    <w:rsid w:val="00611A86"/>
    <w:rsid w:val="00612BD3"/>
    <w:rsid w:val="006153CD"/>
    <w:rsid w:val="00616AAF"/>
    <w:rsid w:val="00616B13"/>
    <w:rsid w:val="00616BCF"/>
    <w:rsid w:val="00620130"/>
    <w:rsid w:val="00621C1D"/>
    <w:rsid w:val="00625361"/>
    <w:rsid w:val="00630B07"/>
    <w:rsid w:val="0063365F"/>
    <w:rsid w:val="00633921"/>
    <w:rsid w:val="00634901"/>
    <w:rsid w:val="00634D00"/>
    <w:rsid w:val="00635DAE"/>
    <w:rsid w:val="00636531"/>
    <w:rsid w:val="00637E05"/>
    <w:rsid w:val="00641801"/>
    <w:rsid w:val="006478CA"/>
    <w:rsid w:val="0065048B"/>
    <w:rsid w:val="00652AD8"/>
    <w:rsid w:val="00653F7E"/>
    <w:rsid w:val="00654005"/>
    <w:rsid w:val="00654577"/>
    <w:rsid w:val="00657AFA"/>
    <w:rsid w:val="00662DB5"/>
    <w:rsid w:val="006632A6"/>
    <w:rsid w:val="00663FEC"/>
    <w:rsid w:val="00665F3D"/>
    <w:rsid w:val="00670BE5"/>
    <w:rsid w:val="00670E63"/>
    <w:rsid w:val="006740DD"/>
    <w:rsid w:val="006741E5"/>
    <w:rsid w:val="00674887"/>
    <w:rsid w:val="006754B9"/>
    <w:rsid w:val="00676812"/>
    <w:rsid w:val="006802EF"/>
    <w:rsid w:val="00681C7D"/>
    <w:rsid w:val="00683E2C"/>
    <w:rsid w:val="00685A6E"/>
    <w:rsid w:val="00686136"/>
    <w:rsid w:val="006902BF"/>
    <w:rsid w:val="00692ECD"/>
    <w:rsid w:val="006934DE"/>
    <w:rsid w:val="00693947"/>
    <w:rsid w:val="006A0F6E"/>
    <w:rsid w:val="006A131C"/>
    <w:rsid w:val="006A1C8A"/>
    <w:rsid w:val="006A2554"/>
    <w:rsid w:val="006A2D3E"/>
    <w:rsid w:val="006A4BDB"/>
    <w:rsid w:val="006A6B13"/>
    <w:rsid w:val="006A6F51"/>
    <w:rsid w:val="006A75E7"/>
    <w:rsid w:val="006A791F"/>
    <w:rsid w:val="006B0EC3"/>
    <w:rsid w:val="006B45BE"/>
    <w:rsid w:val="006B4DAD"/>
    <w:rsid w:val="006B52A7"/>
    <w:rsid w:val="006B56F5"/>
    <w:rsid w:val="006B5C77"/>
    <w:rsid w:val="006C0421"/>
    <w:rsid w:val="006C0461"/>
    <w:rsid w:val="006C174C"/>
    <w:rsid w:val="006C1F06"/>
    <w:rsid w:val="006C2257"/>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F030B"/>
    <w:rsid w:val="006F0645"/>
    <w:rsid w:val="006F0925"/>
    <w:rsid w:val="006F1700"/>
    <w:rsid w:val="006F327F"/>
    <w:rsid w:val="0070070A"/>
    <w:rsid w:val="00700B73"/>
    <w:rsid w:val="00702576"/>
    <w:rsid w:val="00704015"/>
    <w:rsid w:val="0070505E"/>
    <w:rsid w:val="00705F28"/>
    <w:rsid w:val="007068BE"/>
    <w:rsid w:val="00706ADD"/>
    <w:rsid w:val="00714DFD"/>
    <w:rsid w:val="00716B68"/>
    <w:rsid w:val="007236BA"/>
    <w:rsid w:val="007238DD"/>
    <w:rsid w:val="00723D02"/>
    <w:rsid w:val="00723D84"/>
    <w:rsid w:val="00724717"/>
    <w:rsid w:val="00724735"/>
    <w:rsid w:val="00724CA5"/>
    <w:rsid w:val="0072660C"/>
    <w:rsid w:val="007268D9"/>
    <w:rsid w:val="00730ECD"/>
    <w:rsid w:val="00731AB7"/>
    <w:rsid w:val="0074180F"/>
    <w:rsid w:val="0074297A"/>
    <w:rsid w:val="00742CB6"/>
    <w:rsid w:val="00746019"/>
    <w:rsid w:val="00746C56"/>
    <w:rsid w:val="007522C4"/>
    <w:rsid w:val="00752833"/>
    <w:rsid w:val="007532A0"/>
    <w:rsid w:val="00753BFB"/>
    <w:rsid w:val="007558DB"/>
    <w:rsid w:val="00755AB9"/>
    <w:rsid w:val="00760746"/>
    <w:rsid w:val="00763791"/>
    <w:rsid w:val="00764052"/>
    <w:rsid w:val="00766299"/>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BCD"/>
    <w:rsid w:val="007A4BB5"/>
    <w:rsid w:val="007A4FB6"/>
    <w:rsid w:val="007A5636"/>
    <w:rsid w:val="007A5AEB"/>
    <w:rsid w:val="007A6EBE"/>
    <w:rsid w:val="007B1550"/>
    <w:rsid w:val="007B1B3A"/>
    <w:rsid w:val="007B4E82"/>
    <w:rsid w:val="007B7C1E"/>
    <w:rsid w:val="007C1D1B"/>
    <w:rsid w:val="007C422C"/>
    <w:rsid w:val="007C4CA2"/>
    <w:rsid w:val="007D6EC1"/>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3B88"/>
    <w:rsid w:val="00814C9A"/>
    <w:rsid w:val="008150C7"/>
    <w:rsid w:val="00815786"/>
    <w:rsid w:val="00815E04"/>
    <w:rsid w:val="00817270"/>
    <w:rsid w:val="00817D2C"/>
    <w:rsid w:val="0082022F"/>
    <w:rsid w:val="0082308A"/>
    <w:rsid w:val="008252B9"/>
    <w:rsid w:val="008258BD"/>
    <w:rsid w:val="008327F0"/>
    <w:rsid w:val="00834E70"/>
    <w:rsid w:val="00837228"/>
    <w:rsid w:val="00837DB7"/>
    <w:rsid w:val="0084084A"/>
    <w:rsid w:val="008416F3"/>
    <w:rsid w:val="00843308"/>
    <w:rsid w:val="00850377"/>
    <w:rsid w:val="008506B2"/>
    <w:rsid w:val="00851179"/>
    <w:rsid w:val="00852EBB"/>
    <w:rsid w:val="008536E0"/>
    <w:rsid w:val="0085585F"/>
    <w:rsid w:val="00855A31"/>
    <w:rsid w:val="00855FFB"/>
    <w:rsid w:val="008622EE"/>
    <w:rsid w:val="00862F89"/>
    <w:rsid w:val="0086454E"/>
    <w:rsid w:val="0086470E"/>
    <w:rsid w:val="0086630A"/>
    <w:rsid w:val="0087129C"/>
    <w:rsid w:val="00872575"/>
    <w:rsid w:val="008733E7"/>
    <w:rsid w:val="008736D0"/>
    <w:rsid w:val="00873929"/>
    <w:rsid w:val="00874016"/>
    <w:rsid w:val="0087401C"/>
    <w:rsid w:val="00874FD0"/>
    <w:rsid w:val="00877C12"/>
    <w:rsid w:val="00883479"/>
    <w:rsid w:val="00885DD4"/>
    <w:rsid w:val="00886809"/>
    <w:rsid w:val="0088750D"/>
    <w:rsid w:val="008876CD"/>
    <w:rsid w:val="008879C5"/>
    <w:rsid w:val="00890051"/>
    <w:rsid w:val="0089045C"/>
    <w:rsid w:val="0089306D"/>
    <w:rsid w:val="00893C57"/>
    <w:rsid w:val="008951B3"/>
    <w:rsid w:val="00895914"/>
    <w:rsid w:val="00897752"/>
    <w:rsid w:val="008A1E8A"/>
    <w:rsid w:val="008A2288"/>
    <w:rsid w:val="008A396A"/>
    <w:rsid w:val="008A4525"/>
    <w:rsid w:val="008A4AFF"/>
    <w:rsid w:val="008A5CCC"/>
    <w:rsid w:val="008B1F79"/>
    <w:rsid w:val="008B2CA5"/>
    <w:rsid w:val="008B3001"/>
    <w:rsid w:val="008B4D2E"/>
    <w:rsid w:val="008B5343"/>
    <w:rsid w:val="008B5DBC"/>
    <w:rsid w:val="008C12BD"/>
    <w:rsid w:val="008C3C92"/>
    <w:rsid w:val="008C4E8A"/>
    <w:rsid w:val="008D1F47"/>
    <w:rsid w:val="008D2F88"/>
    <w:rsid w:val="008D4422"/>
    <w:rsid w:val="008D640B"/>
    <w:rsid w:val="008E106D"/>
    <w:rsid w:val="008E3C04"/>
    <w:rsid w:val="008E56E2"/>
    <w:rsid w:val="008E5938"/>
    <w:rsid w:val="008E7A24"/>
    <w:rsid w:val="008F0786"/>
    <w:rsid w:val="008F35A8"/>
    <w:rsid w:val="008F4858"/>
    <w:rsid w:val="009016E3"/>
    <w:rsid w:val="009032CF"/>
    <w:rsid w:val="009135D3"/>
    <w:rsid w:val="00913750"/>
    <w:rsid w:val="00913F09"/>
    <w:rsid w:val="00917496"/>
    <w:rsid w:val="009206F7"/>
    <w:rsid w:val="00920CD4"/>
    <w:rsid w:val="0092105D"/>
    <w:rsid w:val="0092151E"/>
    <w:rsid w:val="00922288"/>
    <w:rsid w:val="00922865"/>
    <w:rsid w:val="009248AD"/>
    <w:rsid w:val="00925681"/>
    <w:rsid w:val="00926BA6"/>
    <w:rsid w:val="00927B53"/>
    <w:rsid w:val="0093220E"/>
    <w:rsid w:val="009333D5"/>
    <w:rsid w:val="009345DB"/>
    <w:rsid w:val="00934810"/>
    <w:rsid w:val="00934C45"/>
    <w:rsid w:val="00935F6F"/>
    <w:rsid w:val="0093630E"/>
    <w:rsid w:val="00936E99"/>
    <w:rsid w:val="00941302"/>
    <w:rsid w:val="0094204D"/>
    <w:rsid w:val="009424DA"/>
    <w:rsid w:val="00944181"/>
    <w:rsid w:val="0094440D"/>
    <w:rsid w:val="00947EC9"/>
    <w:rsid w:val="00950DFB"/>
    <w:rsid w:val="00951A74"/>
    <w:rsid w:val="00951A8D"/>
    <w:rsid w:val="00951C43"/>
    <w:rsid w:val="009533CE"/>
    <w:rsid w:val="00954AD1"/>
    <w:rsid w:val="00955B43"/>
    <w:rsid w:val="0095612C"/>
    <w:rsid w:val="00957265"/>
    <w:rsid w:val="0095794F"/>
    <w:rsid w:val="00962A82"/>
    <w:rsid w:val="009662F0"/>
    <w:rsid w:val="00966DD6"/>
    <w:rsid w:val="009678FF"/>
    <w:rsid w:val="0097327D"/>
    <w:rsid w:val="0097587F"/>
    <w:rsid w:val="00975D17"/>
    <w:rsid w:val="009776F4"/>
    <w:rsid w:val="00977FB6"/>
    <w:rsid w:val="009804AC"/>
    <w:rsid w:val="009809F0"/>
    <w:rsid w:val="009829B0"/>
    <w:rsid w:val="00985B95"/>
    <w:rsid w:val="00990618"/>
    <w:rsid w:val="00991CD7"/>
    <w:rsid w:val="00995B20"/>
    <w:rsid w:val="00996058"/>
    <w:rsid w:val="0099688A"/>
    <w:rsid w:val="00996C19"/>
    <w:rsid w:val="009A0B81"/>
    <w:rsid w:val="009A28F8"/>
    <w:rsid w:val="009A3182"/>
    <w:rsid w:val="009A4641"/>
    <w:rsid w:val="009A64B1"/>
    <w:rsid w:val="009A70B1"/>
    <w:rsid w:val="009A7596"/>
    <w:rsid w:val="009B477B"/>
    <w:rsid w:val="009B656D"/>
    <w:rsid w:val="009C04EE"/>
    <w:rsid w:val="009C08BB"/>
    <w:rsid w:val="009C107E"/>
    <w:rsid w:val="009C14D4"/>
    <w:rsid w:val="009C3C2A"/>
    <w:rsid w:val="009C513D"/>
    <w:rsid w:val="009C69C7"/>
    <w:rsid w:val="009D01AE"/>
    <w:rsid w:val="009D187B"/>
    <w:rsid w:val="009D2385"/>
    <w:rsid w:val="009D5C8E"/>
    <w:rsid w:val="009E0499"/>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6CD0"/>
    <w:rsid w:val="009F7159"/>
    <w:rsid w:val="00A002FE"/>
    <w:rsid w:val="00A010CA"/>
    <w:rsid w:val="00A02228"/>
    <w:rsid w:val="00A02E2E"/>
    <w:rsid w:val="00A03C90"/>
    <w:rsid w:val="00A03EDD"/>
    <w:rsid w:val="00A10E86"/>
    <w:rsid w:val="00A1114F"/>
    <w:rsid w:val="00A11FFD"/>
    <w:rsid w:val="00A12C8D"/>
    <w:rsid w:val="00A13B73"/>
    <w:rsid w:val="00A1412C"/>
    <w:rsid w:val="00A21611"/>
    <w:rsid w:val="00A216D7"/>
    <w:rsid w:val="00A218BC"/>
    <w:rsid w:val="00A24325"/>
    <w:rsid w:val="00A25213"/>
    <w:rsid w:val="00A252F0"/>
    <w:rsid w:val="00A264A9"/>
    <w:rsid w:val="00A26C90"/>
    <w:rsid w:val="00A3181B"/>
    <w:rsid w:val="00A31C58"/>
    <w:rsid w:val="00A340E3"/>
    <w:rsid w:val="00A3544B"/>
    <w:rsid w:val="00A3561D"/>
    <w:rsid w:val="00A35BC5"/>
    <w:rsid w:val="00A440E2"/>
    <w:rsid w:val="00A446A7"/>
    <w:rsid w:val="00A45815"/>
    <w:rsid w:val="00A5016B"/>
    <w:rsid w:val="00A5132F"/>
    <w:rsid w:val="00A51E00"/>
    <w:rsid w:val="00A522B7"/>
    <w:rsid w:val="00A5241A"/>
    <w:rsid w:val="00A5394D"/>
    <w:rsid w:val="00A539C9"/>
    <w:rsid w:val="00A53C66"/>
    <w:rsid w:val="00A55CB3"/>
    <w:rsid w:val="00A57696"/>
    <w:rsid w:val="00A60795"/>
    <w:rsid w:val="00A60AF2"/>
    <w:rsid w:val="00A60DC0"/>
    <w:rsid w:val="00A61C66"/>
    <w:rsid w:val="00A62455"/>
    <w:rsid w:val="00A648FF"/>
    <w:rsid w:val="00A64F8F"/>
    <w:rsid w:val="00A66F56"/>
    <w:rsid w:val="00A704B1"/>
    <w:rsid w:val="00A70F3E"/>
    <w:rsid w:val="00A711EB"/>
    <w:rsid w:val="00A71FDC"/>
    <w:rsid w:val="00A7203A"/>
    <w:rsid w:val="00A73C6F"/>
    <w:rsid w:val="00A74C1E"/>
    <w:rsid w:val="00A8009D"/>
    <w:rsid w:val="00A80AAB"/>
    <w:rsid w:val="00A90811"/>
    <w:rsid w:val="00A90E13"/>
    <w:rsid w:val="00A92667"/>
    <w:rsid w:val="00A92A1A"/>
    <w:rsid w:val="00A936E7"/>
    <w:rsid w:val="00A947C9"/>
    <w:rsid w:val="00A953AC"/>
    <w:rsid w:val="00A97408"/>
    <w:rsid w:val="00AA0FDA"/>
    <w:rsid w:val="00AA2CF3"/>
    <w:rsid w:val="00AA40D1"/>
    <w:rsid w:val="00AA4783"/>
    <w:rsid w:val="00AA6B88"/>
    <w:rsid w:val="00AA772B"/>
    <w:rsid w:val="00AB040F"/>
    <w:rsid w:val="00AB0C45"/>
    <w:rsid w:val="00AB0F96"/>
    <w:rsid w:val="00AB10C5"/>
    <w:rsid w:val="00AB1431"/>
    <w:rsid w:val="00AB1AAB"/>
    <w:rsid w:val="00AB1AB2"/>
    <w:rsid w:val="00AB472B"/>
    <w:rsid w:val="00AB5781"/>
    <w:rsid w:val="00AB643F"/>
    <w:rsid w:val="00AB672B"/>
    <w:rsid w:val="00AC0B2F"/>
    <w:rsid w:val="00AC2360"/>
    <w:rsid w:val="00AC27FA"/>
    <w:rsid w:val="00AC2A8C"/>
    <w:rsid w:val="00AC3361"/>
    <w:rsid w:val="00AC6606"/>
    <w:rsid w:val="00AC750F"/>
    <w:rsid w:val="00AC7CD8"/>
    <w:rsid w:val="00AC7ED6"/>
    <w:rsid w:val="00AD07A0"/>
    <w:rsid w:val="00AD1638"/>
    <w:rsid w:val="00AD1C4C"/>
    <w:rsid w:val="00AD5AEB"/>
    <w:rsid w:val="00AD64B9"/>
    <w:rsid w:val="00AE1773"/>
    <w:rsid w:val="00AE2ECF"/>
    <w:rsid w:val="00AE3693"/>
    <w:rsid w:val="00AE5C1F"/>
    <w:rsid w:val="00AE5E93"/>
    <w:rsid w:val="00AE6074"/>
    <w:rsid w:val="00AF06D9"/>
    <w:rsid w:val="00AF1CCA"/>
    <w:rsid w:val="00AF2DB4"/>
    <w:rsid w:val="00AF5442"/>
    <w:rsid w:val="00B012DE"/>
    <w:rsid w:val="00B01473"/>
    <w:rsid w:val="00B05458"/>
    <w:rsid w:val="00B07FEE"/>
    <w:rsid w:val="00B104FD"/>
    <w:rsid w:val="00B1328E"/>
    <w:rsid w:val="00B13707"/>
    <w:rsid w:val="00B13CD0"/>
    <w:rsid w:val="00B16A73"/>
    <w:rsid w:val="00B16E94"/>
    <w:rsid w:val="00B25107"/>
    <w:rsid w:val="00B31AC7"/>
    <w:rsid w:val="00B32A76"/>
    <w:rsid w:val="00B32C88"/>
    <w:rsid w:val="00B34398"/>
    <w:rsid w:val="00B4237D"/>
    <w:rsid w:val="00B42656"/>
    <w:rsid w:val="00B43332"/>
    <w:rsid w:val="00B443B4"/>
    <w:rsid w:val="00B44C24"/>
    <w:rsid w:val="00B452D5"/>
    <w:rsid w:val="00B45888"/>
    <w:rsid w:val="00B45B15"/>
    <w:rsid w:val="00B5047B"/>
    <w:rsid w:val="00B51D96"/>
    <w:rsid w:val="00B53BD7"/>
    <w:rsid w:val="00B56096"/>
    <w:rsid w:val="00B5683D"/>
    <w:rsid w:val="00B5782E"/>
    <w:rsid w:val="00B62B40"/>
    <w:rsid w:val="00B658AD"/>
    <w:rsid w:val="00B6637D"/>
    <w:rsid w:val="00B666EF"/>
    <w:rsid w:val="00B671A0"/>
    <w:rsid w:val="00B672EC"/>
    <w:rsid w:val="00B701DB"/>
    <w:rsid w:val="00B726FF"/>
    <w:rsid w:val="00B728F9"/>
    <w:rsid w:val="00B805EE"/>
    <w:rsid w:val="00B812A5"/>
    <w:rsid w:val="00B8141F"/>
    <w:rsid w:val="00B817DB"/>
    <w:rsid w:val="00B84566"/>
    <w:rsid w:val="00B85B8D"/>
    <w:rsid w:val="00B85D52"/>
    <w:rsid w:val="00B86890"/>
    <w:rsid w:val="00B868B6"/>
    <w:rsid w:val="00B87AC9"/>
    <w:rsid w:val="00BA249A"/>
    <w:rsid w:val="00BA33E7"/>
    <w:rsid w:val="00BA404F"/>
    <w:rsid w:val="00BA45B7"/>
    <w:rsid w:val="00BA48C0"/>
    <w:rsid w:val="00BA4E83"/>
    <w:rsid w:val="00BB21E1"/>
    <w:rsid w:val="00BB29CF"/>
    <w:rsid w:val="00BB7CF2"/>
    <w:rsid w:val="00BC151B"/>
    <w:rsid w:val="00BC6742"/>
    <w:rsid w:val="00BC74D7"/>
    <w:rsid w:val="00BC7FD0"/>
    <w:rsid w:val="00BD0EA1"/>
    <w:rsid w:val="00BD11D6"/>
    <w:rsid w:val="00BD1B8F"/>
    <w:rsid w:val="00BD47F4"/>
    <w:rsid w:val="00BD7329"/>
    <w:rsid w:val="00BD751A"/>
    <w:rsid w:val="00BD7EE5"/>
    <w:rsid w:val="00BE30EE"/>
    <w:rsid w:val="00BE4FFC"/>
    <w:rsid w:val="00BE63BC"/>
    <w:rsid w:val="00BF0378"/>
    <w:rsid w:val="00BF27F1"/>
    <w:rsid w:val="00BF3297"/>
    <w:rsid w:val="00BF3B42"/>
    <w:rsid w:val="00BF3F79"/>
    <w:rsid w:val="00BF7162"/>
    <w:rsid w:val="00BF7CF0"/>
    <w:rsid w:val="00C001F4"/>
    <w:rsid w:val="00C01949"/>
    <w:rsid w:val="00C030CD"/>
    <w:rsid w:val="00C03843"/>
    <w:rsid w:val="00C0504F"/>
    <w:rsid w:val="00C0691A"/>
    <w:rsid w:val="00C0765F"/>
    <w:rsid w:val="00C07C56"/>
    <w:rsid w:val="00C10468"/>
    <w:rsid w:val="00C137F2"/>
    <w:rsid w:val="00C14183"/>
    <w:rsid w:val="00C23595"/>
    <w:rsid w:val="00C23D41"/>
    <w:rsid w:val="00C24668"/>
    <w:rsid w:val="00C258AC"/>
    <w:rsid w:val="00C337B7"/>
    <w:rsid w:val="00C33D90"/>
    <w:rsid w:val="00C34DFC"/>
    <w:rsid w:val="00C35846"/>
    <w:rsid w:val="00C369C1"/>
    <w:rsid w:val="00C37539"/>
    <w:rsid w:val="00C46949"/>
    <w:rsid w:val="00C526EA"/>
    <w:rsid w:val="00C536BA"/>
    <w:rsid w:val="00C53D13"/>
    <w:rsid w:val="00C55371"/>
    <w:rsid w:val="00C553EC"/>
    <w:rsid w:val="00C555A4"/>
    <w:rsid w:val="00C55658"/>
    <w:rsid w:val="00C60013"/>
    <w:rsid w:val="00C6068B"/>
    <w:rsid w:val="00C627B1"/>
    <w:rsid w:val="00C63FE0"/>
    <w:rsid w:val="00C65D79"/>
    <w:rsid w:val="00C65ECC"/>
    <w:rsid w:val="00C66604"/>
    <w:rsid w:val="00C67013"/>
    <w:rsid w:val="00C677B6"/>
    <w:rsid w:val="00C720A2"/>
    <w:rsid w:val="00C7230E"/>
    <w:rsid w:val="00C73CE2"/>
    <w:rsid w:val="00C7484F"/>
    <w:rsid w:val="00C74B77"/>
    <w:rsid w:val="00C807DD"/>
    <w:rsid w:val="00C80934"/>
    <w:rsid w:val="00C8474B"/>
    <w:rsid w:val="00C849A7"/>
    <w:rsid w:val="00C92D4C"/>
    <w:rsid w:val="00C94FE9"/>
    <w:rsid w:val="00C96140"/>
    <w:rsid w:val="00CA0D71"/>
    <w:rsid w:val="00CA262C"/>
    <w:rsid w:val="00CB00F7"/>
    <w:rsid w:val="00CB087D"/>
    <w:rsid w:val="00CB1696"/>
    <w:rsid w:val="00CB1A12"/>
    <w:rsid w:val="00CB2F3C"/>
    <w:rsid w:val="00CB40AA"/>
    <w:rsid w:val="00CB4830"/>
    <w:rsid w:val="00CB74DC"/>
    <w:rsid w:val="00CC3889"/>
    <w:rsid w:val="00CC3D49"/>
    <w:rsid w:val="00CC4A15"/>
    <w:rsid w:val="00CC7008"/>
    <w:rsid w:val="00CC7E27"/>
    <w:rsid w:val="00CD0467"/>
    <w:rsid w:val="00CD11B0"/>
    <w:rsid w:val="00CD214D"/>
    <w:rsid w:val="00CD2ED7"/>
    <w:rsid w:val="00CD38ED"/>
    <w:rsid w:val="00CD4977"/>
    <w:rsid w:val="00CD4979"/>
    <w:rsid w:val="00CD4A4A"/>
    <w:rsid w:val="00CD7147"/>
    <w:rsid w:val="00CE07D7"/>
    <w:rsid w:val="00CE143E"/>
    <w:rsid w:val="00CE2CE8"/>
    <w:rsid w:val="00CE48BF"/>
    <w:rsid w:val="00CE5B88"/>
    <w:rsid w:val="00CE5B99"/>
    <w:rsid w:val="00CE7559"/>
    <w:rsid w:val="00CF21DE"/>
    <w:rsid w:val="00CF31B8"/>
    <w:rsid w:val="00CF338C"/>
    <w:rsid w:val="00CF3D52"/>
    <w:rsid w:val="00CF4360"/>
    <w:rsid w:val="00CF4653"/>
    <w:rsid w:val="00CF605E"/>
    <w:rsid w:val="00CF6EAD"/>
    <w:rsid w:val="00D06931"/>
    <w:rsid w:val="00D100FB"/>
    <w:rsid w:val="00D1043B"/>
    <w:rsid w:val="00D11089"/>
    <w:rsid w:val="00D12CAF"/>
    <w:rsid w:val="00D13280"/>
    <w:rsid w:val="00D137AE"/>
    <w:rsid w:val="00D14E0B"/>
    <w:rsid w:val="00D15BBF"/>
    <w:rsid w:val="00D16799"/>
    <w:rsid w:val="00D16F1B"/>
    <w:rsid w:val="00D17B48"/>
    <w:rsid w:val="00D20B7A"/>
    <w:rsid w:val="00D214A0"/>
    <w:rsid w:val="00D23CDE"/>
    <w:rsid w:val="00D24586"/>
    <w:rsid w:val="00D25144"/>
    <w:rsid w:val="00D260FE"/>
    <w:rsid w:val="00D34000"/>
    <w:rsid w:val="00D35361"/>
    <w:rsid w:val="00D37A75"/>
    <w:rsid w:val="00D37E5D"/>
    <w:rsid w:val="00D43D4D"/>
    <w:rsid w:val="00D5013E"/>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718BE"/>
    <w:rsid w:val="00D73247"/>
    <w:rsid w:val="00D74002"/>
    <w:rsid w:val="00D7447A"/>
    <w:rsid w:val="00D7519F"/>
    <w:rsid w:val="00D76923"/>
    <w:rsid w:val="00D8119F"/>
    <w:rsid w:val="00D8458A"/>
    <w:rsid w:val="00D85E94"/>
    <w:rsid w:val="00D86F65"/>
    <w:rsid w:val="00D872E5"/>
    <w:rsid w:val="00D873D6"/>
    <w:rsid w:val="00D918CB"/>
    <w:rsid w:val="00D94293"/>
    <w:rsid w:val="00D94BC3"/>
    <w:rsid w:val="00D95812"/>
    <w:rsid w:val="00D959D7"/>
    <w:rsid w:val="00D95D91"/>
    <w:rsid w:val="00D9767F"/>
    <w:rsid w:val="00DA043B"/>
    <w:rsid w:val="00DA0676"/>
    <w:rsid w:val="00DA1C99"/>
    <w:rsid w:val="00DA27F3"/>
    <w:rsid w:val="00DA30D4"/>
    <w:rsid w:val="00DA3B07"/>
    <w:rsid w:val="00DA44A4"/>
    <w:rsid w:val="00DA4AE5"/>
    <w:rsid w:val="00DA5924"/>
    <w:rsid w:val="00DA67A5"/>
    <w:rsid w:val="00DB2F6A"/>
    <w:rsid w:val="00DB3474"/>
    <w:rsid w:val="00DB542A"/>
    <w:rsid w:val="00DB682A"/>
    <w:rsid w:val="00DC1E27"/>
    <w:rsid w:val="00DC33DF"/>
    <w:rsid w:val="00DC53EC"/>
    <w:rsid w:val="00DC54A5"/>
    <w:rsid w:val="00DD1FB1"/>
    <w:rsid w:val="00DD2B2E"/>
    <w:rsid w:val="00DD4A57"/>
    <w:rsid w:val="00DD4D01"/>
    <w:rsid w:val="00DD51AD"/>
    <w:rsid w:val="00DD5A7F"/>
    <w:rsid w:val="00DD5E31"/>
    <w:rsid w:val="00DD708B"/>
    <w:rsid w:val="00DE0067"/>
    <w:rsid w:val="00DE5B26"/>
    <w:rsid w:val="00DE737E"/>
    <w:rsid w:val="00DE78D0"/>
    <w:rsid w:val="00DF12BE"/>
    <w:rsid w:val="00DF2A97"/>
    <w:rsid w:val="00DF34B9"/>
    <w:rsid w:val="00DF370C"/>
    <w:rsid w:val="00DF3E5E"/>
    <w:rsid w:val="00DF5AE0"/>
    <w:rsid w:val="00DF67A6"/>
    <w:rsid w:val="00DF76D1"/>
    <w:rsid w:val="00E00A67"/>
    <w:rsid w:val="00E03E6D"/>
    <w:rsid w:val="00E0438B"/>
    <w:rsid w:val="00E07B01"/>
    <w:rsid w:val="00E10AB2"/>
    <w:rsid w:val="00E15D14"/>
    <w:rsid w:val="00E16CA3"/>
    <w:rsid w:val="00E201A4"/>
    <w:rsid w:val="00E20F2B"/>
    <w:rsid w:val="00E21EBF"/>
    <w:rsid w:val="00E222BA"/>
    <w:rsid w:val="00E227FF"/>
    <w:rsid w:val="00E2462E"/>
    <w:rsid w:val="00E269BA"/>
    <w:rsid w:val="00E3578B"/>
    <w:rsid w:val="00E36335"/>
    <w:rsid w:val="00E40D53"/>
    <w:rsid w:val="00E41469"/>
    <w:rsid w:val="00E426C6"/>
    <w:rsid w:val="00E42F5F"/>
    <w:rsid w:val="00E43551"/>
    <w:rsid w:val="00E435B2"/>
    <w:rsid w:val="00E4798C"/>
    <w:rsid w:val="00E529FB"/>
    <w:rsid w:val="00E565D6"/>
    <w:rsid w:val="00E575B1"/>
    <w:rsid w:val="00E578C5"/>
    <w:rsid w:val="00E60CAD"/>
    <w:rsid w:val="00E65348"/>
    <w:rsid w:val="00E67265"/>
    <w:rsid w:val="00E67EFE"/>
    <w:rsid w:val="00E70203"/>
    <w:rsid w:val="00E7070B"/>
    <w:rsid w:val="00E71494"/>
    <w:rsid w:val="00E716E0"/>
    <w:rsid w:val="00E71BED"/>
    <w:rsid w:val="00E735AD"/>
    <w:rsid w:val="00E7453E"/>
    <w:rsid w:val="00E74797"/>
    <w:rsid w:val="00E753DF"/>
    <w:rsid w:val="00E76A54"/>
    <w:rsid w:val="00E77325"/>
    <w:rsid w:val="00E77C30"/>
    <w:rsid w:val="00E804F5"/>
    <w:rsid w:val="00E81B33"/>
    <w:rsid w:val="00E81D71"/>
    <w:rsid w:val="00E83777"/>
    <w:rsid w:val="00E839EF"/>
    <w:rsid w:val="00E861F9"/>
    <w:rsid w:val="00E902A9"/>
    <w:rsid w:val="00E91606"/>
    <w:rsid w:val="00E92A1C"/>
    <w:rsid w:val="00E92BE5"/>
    <w:rsid w:val="00E92C60"/>
    <w:rsid w:val="00E94358"/>
    <w:rsid w:val="00E94BAA"/>
    <w:rsid w:val="00E96932"/>
    <w:rsid w:val="00EA1E64"/>
    <w:rsid w:val="00EA3BA2"/>
    <w:rsid w:val="00EA48B8"/>
    <w:rsid w:val="00EA62B0"/>
    <w:rsid w:val="00EA6EC8"/>
    <w:rsid w:val="00EB01B6"/>
    <w:rsid w:val="00EB0392"/>
    <w:rsid w:val="00EB1EAE"/>
    <w:rsid w:val="00EB1F35"/>
    <w:rsid w:val="00EB39C5"/>
    <w:rsid w:val="00EB47D5"/>
    <w:rsid w:val="00EB6C44"/>
    <w:rsid w:val="00EC04DB"/>
    <w:rsid w:val="00EC07CF"/>
    <w:rsid w:val="00EC1C14"/>
    <w:rsid w:val="00EC2FAA"/>
    <w:rsid w:val="00EC31C5"/>
    <w:rsid w:val="00EC5288"/>
    <w:rsid w:val="00EC6761"/>
    <w:rsid w:val="00ED080B"/>
    <w:rsid w:val="00ED0E03"/>
    <w:rsid w:val="00ED294B"/>
    <w:rsid w:val="00ED4B6D"/>
    <w:rsid w:val="00ED6893"/>
    <w:rsid w:val="00ED7382"/>
    <w:rsid w:val="00EE0478"/>
    <w:rsid w:val="00EE36AF"/>
    <w:rsid w:val="00EE4BBD"/>
    <w:rsid w:val="00EE55C1"/>
    <w:rsid w:val="00EE6C34"/>
    <w:rsid w:val="00EE7257"/>
    <w:rsid w:val="00EF05D7"/>
    <w:rsid w:val="00EF0A2A"/>
    <w:rsid w:val="00EF0D03"/>
    <w:rsid w:val="00EF0E84"/>
    <w:rsid w:val="00EF18D1"/>
    <w:rsid w:val="00EF5154"/>
    <w:rsid w:val="00EF5351"/>
    <w:rsid w:val="00EF7338"/>
    <w:rsid w:val="00F00649"/>
    <w:rsid w:val="00F041C4"/>
    <w:rsid w:val="00F04813"/>
    <w:rsid w:val="00F04D34"/>
    <w:rsid w:val="00F04FF1"/>
    <w:rsid w:val="00F0642F"/>
    <w:rsid w:val="00F0691A"/>
    <w:rsid w:val="00F06E51"/>
    <w:rsid w:val="00F070E8"/>
    <w:rsid w:val="00F13A84"/>
    <w:rsid w:val="00F14E51"/>
    <w:rsid w:val="00F1539A"/>
    <w:rsid w:val="00F168D7"/>
    <w:rsid w:val="00F172BC"/>
    <w:rsid w:val="00F20655"/>
    <w:rsid w:val="00F22D48"/>
    <w:rsid w:val="00F238DF"/>
    <w:rsid w:val="00F24726"/>
    <w:rsid w:val="00F25935"/>
    <w:rsid w:val="00F306C7"/>
    <w:rsid w:val="00F32F05"/>
    <w:rsid w:val="00F33DDF"/>
    <w:rsid w:val="00F35FDB"/>
    <w:rsid w:val="00F36730"/>
    <w:rsid w:val="00F40389"/>
    <w:rsid w:val="00F41B34"/>
    <w:rsid w:val="00F41B8B"/>
    <w:rsid w:val="00F4218A"/>
    <w:rsid w:val="00F427BF"/>
    <w:rsid w:val="00F435CE"/>
    <w:rsid w:val="00F436AA"/>
    <w:rsid w:val="00F43FF6"/>
    <w:rsid w:val="00F4400C"/>
    <w:rsid w:val="00F46043"/>
    <w:rsid w:val="00F47892"/>
    <w:rsid w:val="00F50109"/>
    <w:rsid w:val="00F50DBD"/>
    <w:rsid w:val="00F50EDA"/>
    <w:rsid w:val="00F51AD2"/>
    <w:rsid w:val="00F52CD7"/>
    <w:rsid w:val="00F53F49"/>
    <w:rsid w:val="00F57097"/>
    <w:rsid w:val="00F570F9"/>
    <w:rsid w:val="00F61CAD"/>
    <w:rsid w:val="00F61E77"/>
    <w:rsid w:val="00F6448C"/>
    <w:rsid w:val="00F64822"/>
    <w:rsid w:val="00F64D46"/>
    <w:rsid w:val="00F66DD2"/>
    <w:rsid w:val="00F67C9D"/>
    <w:rsid w:val="00F70732"/>
    <w:rsid w:val="00F70820"/>
    <w:rsid w:val="00F71BEE"/>
    <w:rsid w:val="00F740E6"/>
    <w:rsid w:val="00F86DB5"/>
    <w:rsid w:val="00F86E3C"/>
    <w:rsid w:val="00F86E7B"/>
    <w:rsid w:val="00F9117A"/>
    <w:rsid w:val="00F92891"/>
    <w:rsid w:val="00F94945"/>
    <w:rsid w:val="00F950DB"/>
    <w:rsid w:val="00F97162"/>
    <w:rsid w:val="00FA1252"/>
    <w:rsid w:val="00FA16EF"/>
    <w:rsid w:val="00FA2515"/>
    <w:rsid w:val="00FA4865"/>
    <w:rsid w:val="00FA5008"/>
    <w:rsid w:val="00FA54F1"/>
    <w:rsid w:val="00FA6CF2"/>
    <w:rsid w:val="00FB0A47"/>
    <w:rsid w:val="00FB3025"/>
    <w:rsid w:val="00FB56AE"/>
    <w:rsid w:val="00FB5886"/>
    <w:rsid w:val="00FC4DF5"/>
    <w:rsid w:val="00FC5B2A"/>
    <w:rsid w:val="00FC6823"/>
    <w:rsid w:val="00FC6D3B"/>
    <w:rsid w:val="00FC731D"/>
    <w:rsid w:val="00FC7BCC"/>
    <w:rsid w:val="00FC7E2D"/>
    <w:rsid w:val="00FC7FDF"/>
    <w:rsid w:val="00FD0181"/>
    <w:rsid w:val="00FD27B4"/>
    <w:rsid w:val="00FD2929"/>
    <w:rsid w:val="00FD3118"/>
    <w:rsid w:val="00FD38BC"/>
    <w:rsid w:val="00FD4590"/>
    <w:rsid w:val="00FE251C"/>
    <w:rsid w:val="00FE3329"/>
    <w:rsid w:val="00FE3F0D"/>
    <w:rsid w:val="00FE7041"/>
    <w:rsid w:val="00FF342A"/>
    <w:rsid w:val="00FF36FC"/>
    <w:rsid w:val="00FF5906"/>
    <w:rsid w:val="00FF5AFA"/>
    <w:rsid w:val="00FF5EC4"/>
    <w:rsid w:val="00FF6FAE"/>
    <w:rsid w:val="00FF7185"/>
    <w:rsid w:val="0D1856D1"/>
    <w:rsid w:val="62101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2"/>
    <w:basedOn w:val="1"/>
    <w:next w:val="1"/>
    <w:link w:val="4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32"/>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45"/>
    <w:semiHidden/>
    <w:unhideWhenUsed/>
    <w:qFormat/>
    <w:uiPriority w:val="99"/>
    <w:pPr>
      <w:jc w:val="left"/>
    </w:pPr>
  </w:style>
  <w:style w:type="paragraph" w:styleId="5">
    <w:name w:val="Body Text"/>
    <w:basedOn w:val="1"/>
    <w:link w:val="47"/>
    <w:semiHidden/>
    <w:unhideWhenUsed/>
    <w:qFormat/>
    <w:uiPriority w:val="99"/>
    <w:pPr>
      <w:spacing w:after="120"/>
    </w:pPr>
  </w:style>
  <w:style w:type="paragraph" w:styleId="6">
    <w:name w:val="Body Text Indent"/>
    <w:basedOn w:val="1"/>
    <w:link w:val="24"/>
    <w:qFormat/>
    <w:uiPriority w:val="0"/>
    <w:pPr>
      <w:tabs>
        <w:tab w:val="left" w:pos="480"/>
      </w:tabs>
      <w:spacing w:line="560" w:lineRule="exact"/>
      <w:ind w:firstLine="480"/>
      <w:jc w:val="left"/>
    </w:pPr>
    <w:rPr>
      <w:rFonts w:ascii="宋体" w:hAnsi="宋体"/>
      <w:sz w:val="24"/>
    </w:rPr>
  </w:style>
  <w:style w:type="paragraph" w:styleId="7">
    <w:name w:val="Plain Text"/>
    <w:basedOn w:val="1"/>
    <w:link w:val="36"/>
    <w:qFormat/>
    <w:uiPriority w:val="0"/>
    <w:rPr>
      <w:rFonts w:ascii="宋体" w:hAnsi="Courier New"/>
      <w:lang w:val="zh-CN" w:eastAsia="zh-CN"/>
    </w:rPr>
  </w:style>
  <w:style w:type="paragraph" w:styleId="8">
    <w:name w:val="Date"/>
    <w:basedOn w:val="1"/>
    <w:next w:val="1"/>
    <w:link w:val="29"/>
    <w:qFormat/>
    <w:uiPriority w:val="0"/>
    <w:pPr>
      <w:adjustRightInd w:val="0"/>
      <w:spacing w:line="360" w:lineRule="atLeast"/>
      <w:textAlignment w:val="baseline"/>
    </w:pPr>
    <w:rPr>
      <w:sz w:val="32"/>
    </w:rPr>
  </w:style>
  <w:style w:type="paragraph" w:styleId="9">
    <w:name w:val="Body Text Indent 2"/>
    <w:basedOn w:val="1"/>
    <w:link w:val="31"/>
    <w:semiHidden/>
    <w:unhideWhenUsed/>
    <w:uiPriority w:val="99"/>
    <w:pPr>
      <w:spacing w:after="120" w:line="480" w:lineRule="auto"/>
      <w:ind w:left="420" w:leftChars="200"/>
    </w:pPr>
  </w:style>
  <w:style w:type="paragraph" w:styleId="10">
    <w:name w:val="Balloon Text"/>
    <w:basedOn w:val="1"/>
    <w:link w:val="42"/>
    <w:semiHidden/>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7"/>
    <w:unhideWhenUsed/>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6"/>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4">
    <w:name w:val="Body Text Indent 3"/>
    <w:basedOn w:val="1"/>
    <w:link w:val="37"/>
    <w:semiHidden/>
    <w:unhideWhenUsed/>
    <w:uiPriority w:val="99"/>
    <w:pPr>
      <w:spacing w:after="120"/>
      <w:ind w:left="420" w:leftChars="200"/>
    </w:pPr>
    <w:rPr>
      <w:sz w:val="16"/>
      <w:szCs w:val="16"/>
    </w:rPr>
  </w:style>
  <w:style w:type="paragraph" w:styleId="15">
    <w:name w:val="Body Text 2"/>
    <w:basedOn w:val="1"/>
    <w:link w:val="33"/>
    <w:semiHidden/>
    <w:unhideWhenUsed/>
    <w:uiPriority w:val="99"/>
    <w:pPr>
      <w:spacing w:after="120" w:line="480" w:lineRule="auto"/>
    </w:pPr>
  </w:style>
  <w:style w:type="paragraph" w:styleId="16">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17">
    <w:name w:val="annotation subject"/>
    <w:basedOn w:val="4"/>
    <w:next w:val="4"/>
    <w:link w:val="46"/>
    <w:semiHidden/>
    <w:unhideWhenUsed/>
    <w:qFormat/>
    <w:uiPriority w:val="99"/>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22"/>
    <w:rPr>
      <w:b/>
      <w:bCs/>
    </w:rPr>
  </w:style>
  <w:style w:type="character" w:styleId="22">
    <w:name w:val="Hyperlink"/>
    <w:basedOn w:val="20"/>
    <w:unhideWhenUsed/>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character" w:customStyle="1" w:styleId="24">
    <w:name w:val="正文文本缩进 Char"/>
    <w:basedOn w:val="20"/>
    <w:link w:val="6"/>
    <w:qFormat/>
    <w:uiPriority w:val="0"/>
    <w:rPr>
      <w:rFonts w:ascii="宋体" w:hAnsi="宋体" w:eastAsia="宋体" w:cs="Times New Roman"/>
      <w:sz w:val="24"/>
      <w:szCs w:val="20"/>
    </w:rPr>
  </w:style>
  <w:style w:type="paragraph" w:customStyle="1" w:styleId="25">
    <w:name w:val="Default"/>
    <w:link w:val="43"/>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26">
    <w:name w:val="副标题 Char"/>
    <w:basedOn w:val="20"/>
    <w:link w:val="13"/>
    <w:uiPriority w:val="0"/>
    <w:rPr>
      <w:rFonts w:ascii="Cambria" w:hAnsi="Cambria" w:eastAsia="宋体" w:cs="Times New Roman"/>
      <w:b/>
      <w:bCs/>
      <w:kern w:val="28"/>
      <w:sz w:val="32"/>
      <w:szCs w:val="32"/>
      <w:lang w:val="zh-CN" w:eastAsia="zh-CN"/>
    </w:rPr>
  </w:style>
  <w:style w:type="character" w:customStyle="1" w:styleId="27">
    <w:name w:val="页眉 Char"/>
    <w:basedOn w:val="20"/>
    <w:link w:val="12"/>
    <w:qFormat/>
    <w:uiPriority w:val="99"/>
    <w:rPr>
      <w:rFonts w:ascii="Times New Roman" w:hAnsi="Times New Roman" w:eastAsia="宋体" w:cs="Times New Roman"/>
      <w:sz w:val="18"/>
      <w:szCs w:val="18"/>
    </w:rPr>
  </w:style>
  <w:style w:type="character" w:customStyle="1" w:styleId="28">
    <w:name w:val="页脚 Char"/>
    <w:basedOn w:val="20"/>
    <w:link w:val="11"/>
    <w:qFormat/>
    <w:uiPriority w:val="99"/>
    <w:rPr>
      <w:rFonts w:ascii="Times New Roman" w:hAnsi="Times New Roman" w:eastAsia="宋体" w:cs="Times New Roman"/>
      <w:sz w:val="18"/>
      <w:szCs w:val="18"/>
    </w:rPr>
  </w:style>
  <w:style w:type="character" w:customStyle="1" w:styleId="29">
    <w:name w:val="日期 Char"/>
    <w:basedOn w:val="20"/>
    <w:link w:val="8"/>
    <w:qFormat/>
    <w:uiPriority w:val="0"/>
    <w:rPr>
      <w:rFonts w:ascii="Times New Roman" w:hAnsi="Times New Roman" w:eastAsia="宋体" w:cs="Times New Roman"/>
      <w:sz w:val="32"/>
      <w:szCs w:val="20"/>
    </w:rPr>
  </w:style>
  <w:style w:type="paragraph" w:styleId="30">
    <w:name w:val="List Paragraph"/>
    <w:basedOn w:val="1"/>
    <w:link w:val="44"/>
    <w:qFormat/>
    <w:uiPriority w:val="34"/>
    <w:pPr>
      <w:ind w:firstLine="420" w:firstLineChars="200"/>
    </w:pPr>
  </w:style>
  <w:style w:type="character" w:customStyle="1" w:styleId="31">
    <w:name w:val="正文文本缩进 2 Char"/>
    <w:basedOn w:val="20"/>
    <w:link w:val="9"/>
    <w:semiHidden/>
    <w:qFormat/>
    <w:uiPriority w:val="99"/>
    <w:rPr>
      <w:rFonts w:ascii="Times New Roman" w:hAnsi="Times New Roman" w:eastAsia="宋体" w:cs="Times New Roman"/>
      <w:szCs w:val="20"/>
    </w:rPr>
  </w:style>
  <w:style w:type="character" w:customStyle="1" w:styleId="32">
    <w:name w:val="标题 3 Char"/>
    <w:basedOn w:val="20"/>
    <w:link w:val="3"/>
    <w:qFormat/>
    <w:uiPriority w:val="0"/>
    <w:rPr>
      <w:rFonts w:ascii="Times New Roman" w:hAnsi="Times New Roman" w:eastAsia="宋体" w:cs="Times New Roman"/>
      <w:b/>
      <w:bCs/>
      <w:sz w:val="32"/>
      <w:szCs w:val="32"/>
    </w:rPr>
  </w:style>
  <w:style w:type="character" w:customStyle="1" w:styleId="33">
    <w:name w:val="正文文本 2 Char"/>
    <w:basedOn w:val="20"/>
    <w:link w:val="15"/>
    <w:semiHidden/>
    <w:qFormat/>
    <w:uiPriority w:val="99"/>
    <w:rPr>
      <w:rFonts w:ascii="Times New Roman" w:hAnsi="Times New Roman" w:eastAsia="宋体" w:cs="Times New Roman"/>
      <w:szCs w:val="20"/>
    </w:rPr>
  </w:style>
  <w:style w:type="paragraph" w:customStyle="1" w:styleId="34">
    <w:name w:val="Char"/>
    <w:basedOn w:val="1"/>
    <w:qFormat/>
    <w:uiPriority w:val="0"/>
    <w:pPr>
      <w:tabs>
        <w:tab w:val="left" w:pos="360"/>
      </w:tabs>
    </w:pPr>
    <w:rPr>
      <w:sz w:val="24"/>
      <w:szCs w:val="24"/>
    </w:rPr>
  </w:style>
  <w:style w:type="character" w:customStyle="1" w:styleId="35">
    <w:name w:val="纯文本 Char"/>
    <w:basedOn w:val="20"/>
    <w:semiHidden/>
    <w:qFormat/>
    <w:uiPriority w:val="99"/>
    <w:rPr>
      <w:rFonts w:ascii="宋体" w:hAnsi="Courier New" w:eastAsia="宋体" w:cs="Courier New"/>
      <w:szCs w:val="21"/>
    </w:rPr>
  </w:style>
  <w:style w:type="character" w:customStyle="1" w:styleId="36">
    <w:name w:val="纯文本 Char1"/>
    <w:link w:val="7"/>
    <w:qFormat/>
    <w:locked/>
    <w:uiPriority w:val="0"/>
    <w:rPr>
      <w:rFonts w:ascii="宋体" w:hAnsi="Courier New" w:eastAsia="宋体" w:cs="Times New Roman"/>
      <w:szCs w:val="20"/>
      <w:lang w:val="zh-CN" w:eastAsia="zh-CN"/>
    </w:rPr>
  </w:style>
  <w:style w:type="character" w:customStyle="1" w:styleId="37">
    <w:name w:val="正文文本缩进 3 Char"/>
    <w:basedOn w:val="20"/>
    <w:link w:val="14"/>
    <w:semiHidden/>
    <w:qFormat/>
    <w:uiPriority w:val="99"/>
    <w:rPr>
      <w:rFonts w:ascii="Times New Roman" w:hAnsi="Times New Roman" w:eastAsia="宋体" w:cs="Times New Roman"/>
      <w:sz w:val="16"/>
      <w:szCs w:val="16"/>
    </w:rPr>
  </w:style>
  <w:style w:type="paragraph" w:customStyle="1" w:styleId="38">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
    <w:name w:val="批注框文本 Char"/>
    <w:basedOn w:val="20"/>
    <w:link w:val="10"/>
    <w:semiHidden/>
    <w:qFormat/>
    <w:uiPriority w:val="99"/>
    <w:rPr>
      <w:rFonts w:ascii="Times New Roman" w:hAnsi="Times New Roman" w:eastAsia="宋体" w:cs="Times New Roman"/>
      <w:sz w:val="18"/>
      <w:szCs w:val="18"/>
    </w:rPr>
  </w:style>
  <w:style w:type="character" w:customStyle="1" w:styleId="43">
    <w:name w:val="Default Char"/>
    <w:link w:val="25"/>
    <w:qFormat/>
    <w:locked/>
    <w:uiPriority w:val="0"/>
    <w:rPr>
      <w:rFonts w:ascii="......." w:hAnsi="Calibri" w:eastAsia="......." w:cs="......."/>
      <w:color w:val="000000"/>
      <w:kern w:val="0"/>
      <w:sz w:val="24"/>
      <w:szCs w:val="24"/>
    </w:rPr>
  </w:style>
  <w:style w:type="character" w:customStyle="1" w:styleId="44">
    <w:name w:val="列出段落 Char"/>
    <w:link w:val="30"/>
    <w:qFormat/>
    <w:uiPriority w:val="34"/>
    <w:rPr>
      <w:rFonts w:ascii="Times New Roman" w:hAnsi="Times New Roman" w:eastAsia="宋体" w:cs="Times New Roman"/>
      <w:szCs w:val="20"/>
    </w:rPr>
  </w:style>
  <w:style w:type="character" w:customStyle="1" w:styleId="45">
    <w:name w:val="批注文字 Char"/>
    <w:basedOn w:val="20"/>
    <w:link w:val="4"/>
    <w:semiHidden/>
    <w:qFormat/>
    <w:uiPriority w:val="99"/>
    <w:rPr>
      <w:rFonts w:ascii="Times New Roman" w:hAnsi="Times New Roman" w:eastAsia="宋体" w:cs="Times New Roman"/>
      <w:szCs w:val="20"/>
    </w:rPr>
  </w:style>
  <w:style w:type="character" w:customStyle="1" w:styleId="46">
    <w:name w:val="批注主题 Char"/>
    <w:basedOn w:val="45"/>
    <w:link w:val="17"/>
    <w:semiHidden/>
    <w:qFormat/>
    <w:uiPriority w:val="99"/>
    <w:rPr>
      <w:rFonts w:ascii="Times New Roman" w:hAnsi="Times New Roman" w:eastAsia="宋体" w:cs="Times New Roman"/>
      <w:b/>
      <w:bCs/>
      <w:szCs w:val="20"/>
    </w:rPr>
  </w:style>
  <w:style w:type="character" w:customStyle="1" w:styleId="47">
    <w:name w:val="正文文本 Char"/>
    <w:basedOn w:val="20"/>
    <w:link w:val="5"/>
    <w:semiHidden/>
    <w:qFormat/>
    <w:uiPriority w:val="99"/>
    <w:rPr>
      <w:rFonts w:ascii="Times New Roman" w:hAnsi="Times New Roman" w:eastAsia="宋体" w:cs="Times New Roman"/>
      <w:szCs w:val="20"/>
    </w:rPr>
  </w:style>
  <w:style w:type="character" w:customStyle="1" w:styleId="48">
    <w:name w:val="标题 2 Char"/>
    <w:basedOn w:val="20"/>
    <w:link w:val="2"/>
    <w:semiHidden/>
    <w:qFormat/>
    <w:uiPriority w:val="9"/>
    <w:rPr>
      <w:rFonts w:asciiTheme="majorHAnsi" w:hAnsiTheme="majorHAnsi" w:eastAsiaTheme="majorEastAsia" w:cstheme="majorBidi"/>
      <w:b/>
      <w:bCs/>
      <w:sz w:val="32"/>
      <w:szCs w:val="32"/>
    </w:rPr>
  </w:style>
  <w:style w:type="paragraph" w:customStyle="1" w:styleId="49">
    <w:name w:val="列出段落1"/>
    <w:basedOn w:val="1"/>
    <w:qFormat/>
    <w:uiPriority w:val="0"/>
    <w:pPr>
      <w:ind w:firstLine="420" w:firstLineChars="200"/>
    </w:pPr>
    <w:rPr>
      <w:rFonts w:ascii="Calibri" w:hAnsi="Calibri" w:cs="黑体"/>
      <w:szCs w:val="22"/>
    </w:rPr>
  </w:style>
  <w:style w:type="paragraph" w:customStyle="1" w:styleId="50">
    <w:name w:val="AONormal"/>
    <w:qFormat/>
    <w:uiPriority w:val="0"/>
    <w:pPr>
      <w:autoSpaceDE w:val="0"/>
      <w:autoSpaceDN w:val="0"/>
      <w:adjustRightInd w:val="0"/>
      <w:spacing w:line="400" w:lineRule="exact"/>
      <w:ind w:firstLine="440" w:firstLineChars="200"/>
    </w:pPr>
    <w:rPr>
      <w:rFonts w:ascii="华文楷体" w:hAnsi="华文楷体" w:eastAsia="华文楷体" w:cs="华文楷体"/>
      <w:kern w:val="0"/>
      <w:sz w:val="22"/>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3</Pages>
  <Words>7811</Words>
  <Characters>8850</Characters>
  <Lines>300</Lines>
  <Paragraphs>84</Paragraphs>
  <TotalTime>7</TotalTime>
  <ScaleCrop>false</ScaleCrop>
  <LinksUpToDate>false</LinksUpToDate>
  <CharactersWithSpaces>8948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2025-08-07T01:51:00Z</dcterms:created>
  <dc:creator>未定义</dc:creator>
  <cp:lastModifiedBy>片羽时光[咖啡]</cp:lastModifiedBy>
  <cp:lastPrinted>2017-09-13T07:55:00Z</cp:lastPrinted>
  <dcterms:modified xsi:type="dcterms:W3CDTF">2026-05-11T03:38:47Z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eyJoZGlkIjoiMGRkMTBjYzYwOTM4M2JlZmIxMjRiNmI0YzNmOTJmZDAiLCJ1c2VySWQiOiI3NTk1MzM0MzEifQ==</vt:lpwstr>
  </property>
  <property fmtid="{D5CDD505-2E9C-101B-9397-08002B2CF9AE}" pid="4" name="ICV">
    <vt:lpwstr>B7DD60A9E7214B3F8F9979C9EA5AFEB2_12</vt:lpwstr>
  </property>
</Properties>
</file>